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D9" w:rsidRPr="00A91EF0" w:rsidRDefault="00CD08D9" w:rsidP="00CD08D9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Amyopathiás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dermatomyositis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esete terápia rezisztenciával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Nagy-Vincze Melinda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Griger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Zoltán, Dankó Katalin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DE ÁOK Klinikai Immunológia Tanszék, Immunológia, 4032 Debrecen, Móricz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Zs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. u. 22.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CD08D9" w:rsidRPr="00A91EF0" w:rsidRDefault="00CD08D9" w:rsidP="00CD08D9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amyopathiás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dermatomyositis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idiopathiás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inflammatorikus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myopathiák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egy ritka formája, mely jellegzetes bőrtünetek formájában jelentkezik és legtöbb esetben a hagyományos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immunszupresszív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kezelésekre jól reagál. 46 éves férfibetegünk esetében 2007-ben igazolódott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amyopathiás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dermatomyositis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 jellegzetes bőrtünetek: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Gottron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papulák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Gottron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jel, V-jel, sál jel,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periungualis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teleangiectasiák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linearis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erythema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; illetve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bőrbiopszia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alapján. Részletes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tumorkutatás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gastroscopia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colonoscopia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mellkas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rtg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hasi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UH,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tumormarkerek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) több alkalommal készültek,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paraneoplázia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nem volt igazolható. Immunszerológiában reuma faktor pozitivitás mellett egyéb kóros nem volt, jelentős izomgyengesége, izomenzim emelkedése a kórlefolyás alatt nem jelentkezett, bőrtünetek dominálnak.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Kortikoszteroid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majd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Cyclosporin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A, később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Methotrexate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Azathioprine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Chloroquin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TNF-alfa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gátló kezelés mellett is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perzisztáló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változó intenzitású bőrtünetek voltak észlelhetőek.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Rituximabot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alsó határon lévő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IgG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szint miatt nem kapott. Súlyos aktivitás esetén közepes dózisú IVIG kezeléseket alkalmaztunk, melyek bőrtüneteiben azonnali javulást hoztak, de tartós finanszírozási támogatást nem kapott és a kezelések elmaradása után azonnali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relapsus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jelentkezett. Kis esetszámú irodalmi vizsgálat alapján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Tofacitinib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hatékonynak bizonyult terápia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refrakter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bőrtünetek kezelésére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dermatomyositises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betegek esetében, így 2020. májusában EMK alapján esetünkben is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Tofacitinib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indult. Kezdetben, a bőrtünetekben markáns regresszió volt észlelhető (1 hónap alatt a CDASI aktivitási pontszám 36-ról 19-re csökkent), jelentős mellékhatást nem észleltük, így a gyógyszer ígéretesnek tűnt. Később ugyanakkor fokozatos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refrakteritás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alakult ki a terápiára és egy éves kezelés alapján elmondhatjuk, hogy sem a bőrtüneteket, sem a betegség globális aktivitását, sem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Myositis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Response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Criteria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teljes javulási pontszámát tekintve nem számolhatunk be jelentős javulásról. Mindezek miatt a beteg számára ismételten és tartósan a korábban egyedüliként effektívnek bizonyult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IVIg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vagy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subcutan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immunglobulin kezelés szükséges, melynek finanszírozása a mai napig nem megoldott.</w:t>
      </w:r>
    </w:p>
    <w:p w:rsidR="00A47BC4" w:rsidRDefault="00A47BC4"/>
    <w:p w:rsidR="00CD08D9" w:rsidRPr="00A91EF0" w:rsidRDefault="00CD08D9" w:rsidP="00CD08D9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Változott-e az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antifoszfolipid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szindrómával szövődött SLE kórlefolyása?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Nagy Nikolett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Gáspár Eszter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Tarr Tünde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DE ÁOK, Klinikai Immunológiai Tanszék, Belgyógyászat, 4032 Debrecen, Móricz Zsigmond körút 22.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CD08D9" w:rsidRDefault="00CD08D9" w:rsidP="00CD08D9">
      <w:pPr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Szisztémás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lupus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erythematosus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(SLE) gyakran társul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antifoszfolipid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szindrómával (APS), mely a betegség lefolyását, a betegek életkilátásait jelentősen ronthatja. Mindkét betegség kezelésében az utóbbi 15 évben finomodtak a terápiás ajánlások, mely alapján feltételezzük, hogy a betegség lefolyása is változhatott, kedvezőbbé válhatott. Jelen munkában célul tűztük ki, hogy a DE ÁOK Klinikai Immunológiai Tanszéken gondozott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SLE-s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betegekben retrospektív úton felmérjük, hogy az utóbbi 15 évben diagnosztizált betegekben változott-e az SLE kórlefolyása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antifoszfolipid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antitestek jelenlétében vagy hiányában. Vizsgálatunkba 554 SLE miatt gondozott beteget vontunk be. Három csoportot alkottunk, 194 betegnél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antifoszfolipid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antitest nem volt kimutatható (APA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neg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.), 247 betegnek a betegség indulásakor volt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antifoszfolipid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antitestje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de nem volt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thrombotikus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klinikai tünete (APA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poz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.), 113 beteg definitív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antifoszfolipid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szindrómás volt (APS). Mindhárom csoportban az utóbbi 15 évben diagnosztizált betegeknél szignifikánsan 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lastRenderedPageBreak/>
        <w:t xml:space="preserve">csökkent a központi idegrendszeri manifesztációk kialakulása, a krónikus szervi károsodások száma.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thrombotikus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manifesztációk közül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APS-es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csoportban az utóbbi 15 évben diagnosztizált betegeknél szignifikánsan gyakrabban fordult elő mélyvénás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thrombosis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(p=0,49),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lupus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antikoaguláns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pozitivitás (p=0,045), ugyanakkor az akut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miokardiális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infarktus előfordulása szignifikánsan csökkent (p=0,026). Az APA pozitív csoportban szignifikánsan csökkent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antikardiolipin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antitest pozitivitás (p=0,024), krónikus veseelégtelenség kialakulása (p=0,005), szignifikánsan nőtt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mycophenolat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mofetyl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(p</w:t>
      </w:r>
    </w:p>
    <w:p w:rsidR="00CD08D9" w:rsidRDefault="00CD08D9" w:rsidP="00CD08D9">
      <w:pPr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</w:p>
    <w:p w:rsidR="00CD08D9" w:rsidRPr="00A91EF0" w:rsidRDefault="00CD08D9" w:rsidP="00CD08D9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Primer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Sjögren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szindrómás betegek eltérő prognózisú alcsoportjai az EULAR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Sjögren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sym w:font="Symbol" w:char="F0A2"/>
      </w: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s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Syndrome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Disease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Activity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Index (ESSDAI) alapján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 xml:space="preserve">Horváth Ildikó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Fanny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Szántó Antónia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DEKK Belklinika C Épület, Klinikai Immunológia Tanszék, Klinikai Immunológia, 4032 Debrecen, Móricz Zsigmond 22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CD08D9" w:rsidRPr="00A91EF0" w:rsidRDefault="00CD08D9" w:rsidP="00CD08D9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Háttér: A primer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Sjögren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szindróma klinikai képének változatossága, hasonlóan más szisztémás autoimmun kórképekhez, felveti eltérő prognosztikai alcsoportok differenciálásának lehetőségét. Bizonyos szervi érintettségek súlyosabb kórlefolyással járnak, előfordulásuk esetén rosszabb kimenetel várható. Pontos meghatározásukra a betegségaktivitási indexek,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Sjögren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szindróma esetén az ESSDAI bevezetésével nyílt lehetőségünk. Betegek és módszerek: Klinikánkon gondozott nagy létszámú, a 2016-os diagnosztikus kritériumok alapján revideált primer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Sjögren-szindrómás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beteg számítógépes adatbázisban rögzített klinikai és laboratóriumi paramétereinek retrospektív analízisét végeztük el. Meghatároztuk a 12 ESSDAI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domén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aktivitási szintjeit a diagnózis évében, majd a követés alatt évente. Értékeltük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konstitúcionális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tünetek,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lymphadenopathia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az ízületi, az izom, a bőr, a tüdő, a vese, a perifériás és a központi idegrendszeri, a hematológiai érintettséget egyaránt, nemzetközileg elfogadott, egységes szempontok alapján. Adatainkat az EULAR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Sjögren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Big Data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multicentrikus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vizsgálatban is közöltük. Eredmények: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Sjögren-szindróma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diagnózisának időpontjában a betegek 60%-nál rögzítettünk valamilyen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extraglandularis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manifesztációt, ezek 2/3-a mérsékelt (5≤ ESSDAI ≤ 13 pont), 15%-a súlyos (ESSDAI ≥ 14 pont) aktivitást mutatott. Az átlagos ESSDAI index a teljes betegpopulációban 7,85 (6,06-9,23) volt. Rossz prognózisú alcsoportoknak tartjuk eredményeink alapján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lymphadenopathiát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mely enyhe formában 4*, súlyos formában 35*,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polyarthritist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mely 4*, ill. a súlyos veseérintettséget, mely 2.5* rontja a túlélési mutatókat. Következtetés: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Sjögren-szindróma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általában már a diagnóziskor a súlyosabb kórlefolyásúnak ígérkező egy, vagy több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extraglandularis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manifesztációival jelentkezik. Az ESSDAI aktivitási index használata a diagnózis felállításakor, majd a gondozás során rendszeresen (legalább évente) ismételve lehetővé teszi a rossz prognózisú alcsoportok szűrését. Rosszabb prognózis esetén agresszívebb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immunszuppresszív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kezeléssel, esetlegesen biológiai terápiák alkalmazásával tervezünk javítani a kimenetelen és a betegek életminőségén.</w:t>
      </w:r>
    </w:p>
    <w:p w:rsidR="00A2246D" w:rsidRDefault="00A2246D" w:rsidP="00A2246D">
      <w:pPr>
        <w:pStyle w:val="NormlWeb"/>
        <w:shd w:val="clear" w:color="auto" w:fill="FFFFFF"/>
        <w:spacing w:before="0" w:beforeAutospacing="0" w:afterAutospacing="0"/>
        <w:jc w:val="center"/>
        <w:rPr>
          <w:rStyle w:val="Kiemels2"/>
          <w:rFonts w:ascii="Arial" w:hAnsi="Arial" w:cs="Arial"/>
        </w:rPr>
      </w:pPr>
    </w:p>
    <w:p w:rsidR="0045382E" w:rsidRPr="00CF692B" w:rsidRDefault="0045382E" w:rsidP="0045382E">
      <w:pPr>
        <w:pStyle w:val="NormlWeb"/>
        <w:shd w:val="clear" w:color="auto" w:fill="FFFFFF"/>
        <w:spacing w:before="0" w:beforeAutospacing="0" w:afterAutospacing="0"/>
        <w:jc w:val="both"/>
        <w:rPr>
          <w:rFonts w:ascii="Arial" w:hAnsi="Arial" w:cs="Arial"/>
          <w:sz w:val="22"/>
          <w:szCs w:val="22"/>
        </w:rPr>
      </w:pPr>
      <w:r w:rsidRPr="00CF692B">
        <w:rPr>
          <w:rStyle w:val="Kiemels2"/>
          <w:rFonts w:ascii="Arial" w:hAnsi="Arial" w:cs="Arial"/>
        </w:rPr>
        <w:t>A</w:t>
      </w:r>
      <w:r>
        <w:rPr>
          <w:rStyle w:val="Kiemels2"/>
          <w:rFonts w:ascii="Arial" w:hAnsi="Arial" w:cs="Arial"/>
        </w:rPr>
        <w:t>z</w:t>
      </w:r>
      <w:r w:rsidRPr="00CF692B">
        <w:rPr>
          <w:rStyle w:val="Kiemels2"/>
          <w:rFonts w:ascii="Arial" w:hAnsi="Arial" w:cs="Arial"/>
        </w:rPr>
        <w:t xml:space="preserve"> NLRP3 </w:t>
      </w:r>
      <w:r>
        <w:rPr>
          <w:rStyle w:val="Kiemels2"/>
          <w:rFonts w:ascii="Arial" w:hAnsi="Arial" w:cs="Arial"/>
        </w:rPr>
        <w:t>és</w:t>
      </w:r>
      <w:r w:rsidRPr="00CF692B">
        <w:rPr>
          <w:rStyle w:val="Kiemels2"/>
          <w:rFonts w:ascii="Arial" w:hAnsi="Arial" w:cs="Arial"/>
        </w:rPr>
        <w:t xml:space="preserve"> </w:t>
      </w:r>
      <w:proofErr w:type="spellStart"/>
      <w:r w:rsidRPr="00CF692B">
        <w:rPr>
          <w:rStyle w:val="Kiemels2"/>
          <w:rFonts w:ascii="Arial" w:hAnsi="Arial" w:cs="Arial"/>
        </w:rPr>
        <w:t>I-es</w:t>
      </w:r>
      <w:proofErr w:type="spellEnd"/>
      <w:r w:rsidRPr="00CF692B">
        <w:rPr>
          <w:rStyle w:val="Kiemels2"/>
          <w:rFonts w:ascii="Arial" w:hAnsi="Arial" w:cs="Arial"/>
        </w:rPr>
        <w:t xml:space="preserve"> típusú interferon útvonalak interakciójának vizsgálata humán </w:t>
      </w:r>
      <w:proofErr w:type="spellStart"/>
      <w:r w:rsidRPr="00CF692B">
        <w:rPr>
          <w:rStyle w:val="Kiemels2"/>
          <w:rFonts w:ascii="Arial" w:hAnsi="Arial" w:cs="Arial"/>
        </w:rPr>
        <w:t>plazmacitoid</w:t>
      </w:r>
      <w:proofErr w:type="spellEnd"/>
      <w:r w:rsidRPr="00CF692B">
        <w:rPr>
          <w:rStyle w:val="Kiemels2"/>
          <w:rFonts w:ascii="Arial" w:hAnsi="Arial" w:cs="Arial"/>
        </w:rPr>
        <w:t xml:space="preserve"> </w:t>
      </w:r>
      <w:proofErr w:type="spellStart"/>
      <w:r w:rsidRPr="00CF692B">
        <w:rPr>
          <w:rStyle w:val="Kiemels2"/>
          <w:rFonts w:ascii="Arial" w:hAnsi="Arial" w:cs="Arial"/>
        </w:rPr>
        <w:t>dendritikus</w:t>
      </w:r>
      <w:proofErr w:type="spellEnd"/>
      <w:r w:rsidRPr="00CF692B">
        <w:rPr>
          <w:rStyle w:val="Kiemels2"/>
          <w:rFonts w:ascii="Arial" w:hAnsi="Arial" w:cs="Arial"/>
        </w:rPr>
        <w:t xml:space="preserve"> sejtekben</w:t>
      </w:r>
    </w:p>
    <w:p w:rsidR="0045382E" w:rsidRPr="006A79B1" w:rsidRDefault="0045382E" w:rsidP="0045382E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</w:p>
    <w:p w:rsidR="0045382E" w:rsidRPr="0049755F" w:rsidRDefault="0045382E" w:rsidP="0045382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9755F">
        <w:rPr>
          <w:rFonts w:ascii="Times New Roman" w:hAnsi="Times New Roman" w:cs="Times New Roman"/>
          <w:b/>
          <w:sz w:val="24"/>
          <w:u w:val="single"/>
        </w:rPr>
        <w:lastRenderedPageBreak/>
        <w:t>Veres Júlia</w:t>
      </w:r>
      <w:r w:rsidRPr="0049755F">
        <w:rPr>
          <w:rFonts w:ascii="Times New Roman" w:hAnsi="Times New Roman" w:cs="Times New Roman"/>
          <w:b/>
          <w:sz w:val="24"/>
          <w:u w:val="single"/>
          <w:vertAlign w:val="superscript"/>
        </w:rPr>
        <w:t>1</w:t>
      </w:r>
      <w:r w:rsidRPr="0049755F">
        <w:rPr>
          <w:rFonts w:ascii="Times New Roman" w:hAnsi="Times New Roman" w:cs="Times New Roman"/>
          <w:sz w:val="24"/>
        </w:rPr>
        <w:t>, Bencze Dóra</w:t>
      </w:r>
      <w:r w:rsidRPr="0049755F">
        <w:rPr>
          <w:rFonts w:ascii="Times New Roman" w:hAnsi="Times New Roman" w:cs="Times New Roman"/>
          <w:sz w:val="24"/>
          <w:vertAlign w:val="superscript"/>
        </w:rPr>
        <w:t>1,2</w:t>
      </w:r>
      <w:r w:rsidRPr="0049755F">
        <w:rPr>
          <w:rFonts w:ascii="Times New Roman" w:hAnsi="Times New Roman" w:cs="Times New Roman"/>
          <w:sz w:val="24"/>
        </w:rPr>
        <w:t>, Pázmándi Kitti</w:t>
      </w:r>
      <w:r w:rsidRPr="0049755F">
        <w:rPr>
          <w:rFonts w:ascii="Times New Roman" w:hAnsi="Times New Roman" w:cs="Times New Roman"/>
          <w:sz w:val="24"/>
          <w:vertAlign w:val="superscript"/>
        </w:rPr>
        <w:t>1</w:t>
      </w:r>
    </w:p>
    <w:p w:rsidR="0045382E" w:rsidRPr="006A347E" w:rsidRDefault="0045382E" w:rsidP="0045382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A347E">
        <w:rPr>
          <w:rFonts w:ascii="Times New Roman" w:hAnsi="Times New Roman" w:cs="Times New Roman"/>
          <w:sz w:val="24"/>
          <w:vertAlign w:val="superscript"/>
        </w:rPr>
        <w:t>1</w:t>
      </w:r>
      <w:r w:rsidRPr="006A347E">
        <w:rPr>
          <w:rFonts w:ascii="Times New Roman" w:hAnsi="Times New Roman" w:cs="Times New Roman"/>
          <w:sz w:val="24"/>
        </w:rPr>
        <w:t>Debreceni Egyetem, Általános Orvostudományi Kar, Immunológiai Intézet</w:t>
      </w:r>
    </w:p>
    <w:p w:rsidR="0045382E" w:rsidRPr="006A347E" w:rsidRDefault="0045382E" w:rsidP="0045382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A347E">
        <w:rPr>
          <w:rFonts w:ascii="Times New Roman" w:hAnsi="Times New Roman" w:cs="Times New Roman"/>
          <w:sz w:val="24"/>
          <w:vertAlign w:val="superscript"/>
        </w:rPr>
        <w:t>2</w:t>
      </w:r>
      <w:r w:rsidRPr="006A347E">
        <w:rPr>
          <w:rFonts w:ascii="Times New Roman" w:hAnsi="Times New Roman" w:cs="Times New Roman"/>
          <w:sz w:val="24"/>
        </w:rPr>
        <w:t>Debreceni Egyetem, Molekuláris Sejt- és Immunbiológia Doktori Iskola</w:t>
      </w:r>
    </w:p>
    <w:p w:rsidR="0045382E" w:rsidRPr="006E4E19" w:rsidRDefault="0045382E" w:rsidP="0045382E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45382E" w:rsidRDefault="0045382E" w:rsidP="0045382E">
      <w:pPr>
        <w:spacing w:after="0"/>
        <w:jc w:val="both"/>
        <w:rPr>
          <w:rFonts w:ascii="Arial" w:hAnsi="Arial" w:cs="Arial"/>
        </w:rPr>
      </w:pPr>
      <w:r w:rsidRPr="006A79B1">
        <w:rPr>
          <w:rFonts w:ascii="Arial" w:hAnsi="Arial" w:cs="Arial"/>
          <w:b/>
        </w:rPr>
        <w:t xml:space="preserve">Bevezetés: </w:t>
      </w: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antivirális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I-es</w:t>
      </w:r>
      <w:proofErr w:type="spellEnd"/>
      <w:r>
        <w:rPr>
          <w:rFonts w:ascii="Arial" w:hAnsi="Arial" w:cs="Arial"/>
        </w:rPr>
        <w:t xml:space="preserve"> típusú interferon (IFN) és antibakteriális IL-1β útvonalak között főként kölcsönös </w:t>
      </w:r>
      <w:proofErr w:type="spellStart"/>
      <w:r>
        <w:rPr>
          <w:rFonts w:ascii="Arial" w:hAnsi="Arial" w:cs="Arial"/>
        </w:rPr>
        <w:t>antagonista</w:t>
      </w:r>
      <w:proofErr w:type="spellEnd"/>
      <w:r>
        <w:rPr>
          <w:rFonts w:ascii="Arial" w:hAnsi="Arial" w:cs="Arial"/>
        </w:rPr>
        <w:t xml:space="preserve"> jellegű hatások figyelhetők meg, amik nem csak az infekciók, hanem autoimmun kórképek gyulladásos reakcióit is befolyásolják. </w:t>
      </w:r>
      <w:r w:rsidRPr="00F851B6">
        <w:rPr>
          <w:rFonts w:ascii="Arial" w:hAnsi="Arial" w:cs="Arial"/>
        </w:rPr>
        <w:t xml:space="preserve">A </w:t>
      </w:r>
      <w:proofErr w:type="spellStart"/>
      <w:r w:rsidRPr="00F851B6">
        <w:rPr>
          <w:rFonts w:ascii="Arial" w:hAnsi="Arial" w:cs="Arial"/>
        </w:rPr>
        <w:t>plazmacitoid</w:t>
      </w:r>
      <w:proofErr w:type="spellEnd"/>
      <w:r w:rsidRPr="00F851B6">
        <w:rPr>
          <w:rFonts w:ascii="Arial" w:hAnsi="Arial" w:cs="Arial"/>
        </w:rPr>
        <w:t xml:space="preserve"> </w:t>
      </w:r>
      <w:proofErr w:type="spellStart"/>
      <w:r w:rsidRPr="00F851B6">
        <w:rPr>
          <w:rFonts w:ascii="Arial" w:hAnsi="Arial" w:cs="Arial"/>
        </w:rPr>
        <w:t>dendritikus</w:t>
      </w:r>
      <w:proofErr w:type="spellEnd"/>
      <w:r w:rsidRPr="00F851B6">
        <w:rPr>
          <w:rFonts w:ascii="Arial" w:hAnsi="Arial" w:cs="Arial"/>
        </w:rPr>
        <w:t xml:space="preserve"> sejtek (</w:t>
      </w:r>
      <w:proofErr w:type="spellStart"/>
      <w:r w:rsidRPr="00F851B6">
        <w:rPr>
          <w:rFonts w:ascii="Arial" w:hAnsi="Arial" w:cs="Arial"/>
        </w:rPr>
        <w:t>pDS</w:t>
      </w:r>
      <w:proofErr w:type="spellEnd"/>
      <w:r w:rsidRPr="00F851B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antivirális</w:t>
      </w:r>
      <w:proofErr w:type="spellEnd"/>
      <w:r>
        <w:rPr>
          <w:rFonts w:ascii="Arial" w:hAnsi="Arial" w:cs="Arial"/>
        </w:rPr>
        <w:t xml:space="preserve"> válasz legfőbb képviselőiként</w:t>
      </w:r>
      <w:r w:rsidRPr="00F851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professzionális </w:t>
      </w:r>
      <w:proofErr w:type="spellStart"/>
      <w:r>
        <w:rPr>
          <w:rFonts w:ascii="Arial" w:hAnsi="Arial" w:cs="Arial"/>
        </w:rPr>
        <w:t>I-es</w:t>
      </w:r>
      <w:proofErr w:type="spellEnd"/>
      <w:r>
        <w:rPr>
          <w:rFonts w:ascii="Arial" w:hAnsi="Arial" w:cs="Arial"/>
        </w:rPr>
        <w:t xml:space="preserve"> típusú IFN termelők, u</w:t>
      </w:r>
      <w:r w:rsidRPr="00F851B6">
        <w:rPr>
          <w:rFonts w:ascii="Arial" w:hAnsi="Arial" w:cs="Arial"/>
        </w:rPr>
        <w:t xml:space="preserve">gyanakkor </w:t>
      </w:r>
      <w:r>
        <w:rPr>
          <w:rFonts w:ascii="Arial" w:hAnsi="Arial" w:cs="Arial"/>
        </w:rPr>
        <w:t>az NLRP3-függő</w:t>
      </w:r>
      <w:r w:rsidRPr="00F851B6">
        <w:rPr>
          <w:rFonts w:ascii="Arial" w:hAnsi="Arial" w:cs="Arial"/>
        </w:rPr>
        <w:t xml:space="preserve"> IL-1β szekréciós útvonal </w:t>
      </w:r>
      <w:proofErr w:type="spellStart"/>
      <w:r w:rsidRPr="00F851B6">
        <w:rPr>
          <w:rFonts w:ascii="Arial" w:hAnsi="Arial" w:cs="Arial"/>
        </w:rPr>
        <w:t>pDS-ekben</w:t>
      </w:r>
      <w:proofErr w:type="spellEnd"/>
      <w:r w:rsidRPr="00F851B6">
        <w:rPr>
          <w:rFonts w:ascii="Arial" w:hAnsi="Arial" w:cs="Arial"/>
        </w:rPr>
        <w:t xml:space="preserve"> még feltáratlan. Így célunk az volt, hogy megvizsgáljuk az IL-1β szekréciós útvonal funkcionális aktivitását</w:t>
      </w:r>
      <w:r>
        <w:rPr>
          <w:rFonts w:ascii="Arial" w:hAnsi="Arial" w:cs="Arial"/>
        </w:rPr>
        <w:t xml:space="preserve"> humán </w:t>
      </w:r>
      <w:proofErr w:type="spellStart"/>
      <w:r>
        <w:rPr>
          <w:rFonts w:ascii="Arial" w:hAnsi="Arial" w:cs="Arial"/>
        </w:rPr>
        <w:t>pDS-ekben</w:t>
      </w:r>
      <w:proofErr w:type="spellEnd"/>
      <w:r w:rsidRPr="00F851B6">
        <w:rPr>
          <w:rFonts w:ascii="Arial" w:hAnsi="Arial" w:cs="Arial"/>
        </w:rPr>
        <w:t xml:space="preserve">, illetve </w:t>
      </w:r>
      <w:r>
        <w:rPr>
          <w:rFonts w:ascii="Arial" w:hAnsi="Arial" w:cs="Arial"/>
        </w:rPr>
        <w:t xml:space="preserve">feltárjuk </w:t>
      </w:r>
      <w:r w:rsidRPr="00F851B6"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I-es</w:t>
      </w:r>
      <w:proofErr w:type="spellEnd"/>
      <w:r>
        <w:rPr>
          <w:rFonts w:ascii="Arial" w:hAnsi="Arial" w:cs="Arial"/>
        </w:rPr>
        <w:t xml:space="preserve"> típusú IFN</w:t>
      </w:r>
      <w:r w:rsidRPr="00F851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és IL-1</w:t>
      </w:r>
      <w:r w:rsidRPr="00F851B6">
        <w:rPr>
          <w:rFonts w:ascii="Arial" w:hAnsi="Arial" w:cs="Arial"/>
        </w:rPr>
        <w:t xml:space="preserve">β </w:t>
      </w:r>
      <w:r>
        <w:rPr>
          <w:rFonts w:ascii="Arial" w:hAnsi="Arial" w:cs="Arial"/>
        </w:rPr>
        <w:t>útvonalak közötti lehetséges interakciókat.</w:t>
      </w:r>
    </w:p>
    <w:p w:rsidR="0045382E" w:rsidRDefault="0045382E" w:rsidP="0045382E">
      <w:pPr>
        <w:spacing w:after="0"/>
        <w:jc w:val="both"/>
        <w:rPr>
          <w:rFonts w:ascii="Arial" w:hAnsi="Arial" w:cs="Arial"/>
        </w:rPr>
      </w:pPr>
      <w:r w:rsidRPr="006A79B1">
        <w:rPr>
          <w:rFonts w:ascii="Arial" w:hAnsi="Arial" w:cs="Arial"/>
          <w:b/>
        </w:rPr>
        <w:t>Módszerek:</w:t>
      </w:r>
      <w:r>
        <w:rPr>
          <w:rFonts w:ascii="Arial" w:hAnsi="Arial" w:cs="Arial"/>
        </w:rPr>
        <w:t xml:space="preserve"> A humán </w:t>
      </w:r>
      <w:proofErr w:type="spellStart"/>
      <w:r>
        <w:rPr>
          <w:rFonts w:ascii="Arial" w:hAnsi="Arial" w:cs="Arial"/>
        </w:rPr>
        <w:t>pDS-eket</w:t>
      </w:r>
      <w:proofErr w:type="spellEnd"/>
      <w:r>
        <w:rPr>
          <w:rFonts w:ascii="Arial" w:hAnsi="Arial" w:cs="Arial"/>
        </w:rPr>
        <w:t xml:space="preserve"> különböző erősségű </w:t>
      </w:r>
      <w:proofErr w:type="spellStart"/>
      <w:r>
        <w:rPr>
          <w:rFonts w:ascii="Arial" w:hAnsi="Arial" w:cs="Arial"/>
        </w:rPr>
        <w:t>I-es</w:t>
      </w:r>
      <w:proofErr w:type="spellEnd"/>
      <w:r>
        <w:rPr>
          <w:rFonts w:ascii="Arial" w:hAnsi="Arial" w:cs="Arial"/>
        </w:rPr>
        <w:t xml:space="preserve"> típusú IFN választ kiváltó TLR </w:t>
      </w:r>
      <w:proofErr w:type="spellStart"/>
      <w:r>
        <w:rPr>
          <w:rFonts w:ascii="Arial" w:hAnsi="Arial" w:cs="Arial"/>
        </w:rPr>
        <w:t>agonistákkal</w:t>
      </w:r>
      <w:proofErr w:type="spellEnd"/>
      <w:r>
        <w:rPr>
          <w:rFonts w:ascii="Arial" w:hAnsi="Arial" w:cs="Arial"/>
        </w:rPr>
        <w:t xml:space="preserve"> kezeltük </w:t>
      </w:r>
      <w:proofErr w:type="spellStart"/>
      <w:r>
        <w:rPr>
          <w:rFonts w:ascii="Arial" w:hAnsi="Arial" w:cs="Arial"/>
        </w:rPr>
        <w:t>IFN-α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citokin</w:t>
      </w:r>
      <w:proofErr w:type="spellEnd"/>
      <w:r>
        <w:rPr>
          <w:rFonts w:ascii="Arial" w:hAnsi="Arial" w:cs="Arial"/>
        </w:rPr>
        <w:t xml:space="preserve"> jelenlétében vagy anélkül, majd áramlási </w:t>
      </w:r>
      <w:proofErr w:type="spellStart"/>
      <w:r>
        <w:rPr>
          <w:rFonts w:ascii="Arial" w:hAnsi="Arial" w:cs="Arial"/>
        </w:rPr>
        <w:t>citometria</w:t>
      </w:r>
      <w:proofErr w:type="spellEnd"/>
      <w:r>
        <w:rPr>
          <w:rFonts w:ascii="Arial" w:hAnsi="Arial" w:cs="Arial"/>
        </w:rPr>
        <w:t xml:space="preserve">, Q-PCR, western </w:t>
      </w:r>
      <w:proofErr w:type="spellStart"/>
      <w:r>
        <w:rPr>
          <w:rFonts w:ascii="Arial" w:hAnsi="Arial" w:cs="Arial"/>
        </w:rPr>
        <w:t>blot</w:t>
      </w:r>
      <w:proofErr w:type="spellEnd"/>
      <w:r>
        <w:rPr>
          <w:rFonts w:ascii="Arial" w:hAnsi="Arial" w:cs="Arial"/>
        </w:rPr>
        <w:t>, és ELISA segítségével vizsgáltuk az NLRP3 útvonal aktivitását.</w:t>
      </w:r>
    </w:p>
    <w:p w:rsidR="0045382E" w:rsidRDefault="0045382E" w:rsidP="0045382E">
      <w:pPr>
        <w:spacing w:after="0"/>
        <w:jc w:val="both"/>
        <w:rPr>
          <w:rFonts w:ascii="Arial" w:hAnsi="Arial" w:cs="Arial"/>
        </w:rPr>
      </w:pPr>
      <w:r w:rsidRPr="006A79B1">
        <w:rPr>
          <w:rFonts w:ascii="Arial" w:hAnsi="Arial" w:cs="Arial"/>
          <w:b/>
        </w:rPr>
        <w:t xml:space="preserve">Eredmények: </w:t>
      </w:r>
      <w:r w:rsidRPr="006A79B1">
        <w:rPr>
          <w:rFonts w:ascii="Arial" w:hAnsi="Arial" w:cs="Arial"/>
        </w:rPr>
        <w:t>Kimutattuk, hogy a</w:t>
      </w:r>
      <w:r>
        <w:rPr>
          <w:rFonts w:ascii="Arial" w:hAnsi="Arial" w:cs="Arial"/>
        </w:rPr>
        <w:t xml:space="preserve">z erős </w:t>
      </w:r>
      <w:proofErr w:type="spellStart"/>
      <w:r>
        <w:rPr>
          <w:rFonts w:ascii="Arial" w:hAnsi="Arial" w:cs="Arial"/>
        </w:rPr>
        <w:t>I-es</w:t>
      </w:r>
      <w:proofErr w:type="spellEnd"/>
      <w:r>
        <w:rPr>
          <w:rFonts w:ascii="Arial" w:hAnsi="Arial" w:cs="Arial"/>
        </w:rPr>
        <w:t xml:space="preserve"> típusú IFN választ indukáló TLR 9 </w:t>
      </w:r>
      <w:proofErr w:type="spellStart"/>
      <w:r>
        <w:rPr>
          <w:rFonts w:ascii="Arial" w:hAnsi="Arial" w:cs="Arial"/>
        </w:rPr>
        <w:t>ligand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CpG-A</w:t>
      </w:r>
      <w:proofErr w:type="spellEnd"/>
      <w:r>
        <w:rPr>
          <w:rFonts w:ascii="Arial" w:hAnsi="Arial" w:cs="Arial"/>
        </w:rPr>
        <w:t xml:space="preserve"> kisebb mértékben indukálja a pro-IL-1</w:t>
      </w:r>
      <w:r w:rsidRPr="006A79B1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termelődést </w:t>
      </w:r>
      <w:proofErr w:type="spellStart"/>
      <w:r>
        <w:rPr>
          <w:rFonts w:ascii="Arial" w:hAnsi="Arial" w:cs="Arial"/>
        </w:rPr>
        <w:t>pDS-ekben</w:t>
      </w:r>
      <w:proofErr w:type="spellEnd"/>
      <w:r>
        <w:rPr>
          <w:rFonts w:ascii="Arial" w:hAnsi="Arial" w:cs="Arial"/>
        </w:rPr>
        <w:t xml:space="preserve">, mint a kismértékű </w:t>
      </w:r>
      <w:proofErr w:type="spellStart"/>
      <w:r>
        <w:rPr>
          <w:rFonts w:ascii="Arial" w:hAnsi="Arial" w:cs="Arial"/>
        </w:rPr>
        <w:t>IFN-α</w:t>
      </w:r>
      <w:proofErr w:type="spellEnd"/>
      <w:r>
        <w:rPr>
          <w:rFonts w:ascii="Arial" w:hAnsi="Arial" w:cs="Arial"/>
        </w:rPr>
        <w:t xml:space="preserve"> felszabadulást eredményező szintén TLR 9 </w:t>
      </w:r>
      <w:proofErr w:type="spellStart"/>
      <w:r>
        <w:rPr>
          <w:rFonts w:ascii="Arial" w:hAnsi="Arial" w:cs="Arial"/>
        </w:rPr>
        <w:t>agonista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CpG-B</w:t>
      </w:r>
      <w:proofErr w:type="spellEnd"/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pDS-ek</w:t>
      </w:r>
      <w:proofErr w:type="spellEnd"/>
      <w:r>
        <w:rPr>
          <w:rFonts w:ascii="Arial" w:hAnsi="Arial" w:cs="Arial"/>
        </w:rPr>
        <w:t xml:space="preserve"> nigericin-indukált érett, aktív IL-1</w:t>
      </w:r>
      <w:r w:rsidRPr="006A79B1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szekrécióját kizárólag </w:t>
      </w:r>
      <w:proofErr w:type="spellStart"/>
      <w:r>
        <w:rPr>
          <w:rFonts w:ascii="Arial" w:hAnsi="Arial" w:cs="Arial"/>
        </w:rPr>
        <w:t>CpG-B</w:t>
      </w:r>
      <w:proofErr w:type="spellEnd"/>
      <w:r>
        <w:rPr>
          <w:rFonts w:ascii="Arial" w:hAnsi="Arial" w:cs="Arial"/>
        </w:rPr>
        <w:t xml:space="preserve"> előkezelést követően tudtuk detektálni. Ugyanakkor </w:t>
      </w:r>
      <w:proofErr w:type="spellStart"/>
      <w:r>
        <w:rPr>
          <w:rFonts w:ascii="Arial" w:hAnsi="Arial" w:cs="Arial"/>
        </w:rPr>
        <w:t>IFN-α</w:t>
      </w:r>
      <w:proofErr w:type="spellEnd"/>
      <w:r>
        <w:rPr>
          <w:rFonts w:ascii="Arial" w:hAnsi="Arial" w:cs="Arial"/>
        </w:rPr>
        <w:t xml:space="preserve"> jelenlétében a </w:t>
      </w:r>
      <w:proofErr w:type="spellStart"/>
      <w:r>
        <w:rPr>
          <w:rFonts w:ascii="Arial" w:hAnsi="Arial" w:cs="Arial"/>
        </w:rPr>
        <w:t>CpG-B</w:t>
      </w:r>
      <w:proofErr w:type="spellEnd"/>
      <w:r>
        <w:rPr>
          <w:rFonts w:ascii="Arial" w:hAnsi="Arial" w:cs="Arial"/>
        </w:rPr>
        <w:t xml:space="preserve"> kezelés is kisebb mértékű IL-1</w:t>
      </w:r>
      <w:r w:rsidRPr="006A79B1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termelődést eredményezett </w:t>
      </w:r>
      <w:proofErr w:type="spellStart"/>
      <w:r>
        <w:rPr>
          <w:rFonts w:ascii="Arial" w:hAnsi="Arial" w:cs="Arial"/>
        </w:rPr>
        <w:t>pDS-ekben</w:t>
      </w:r>
      <w:proofErr w:type="spellEnd"/>
      <w:r>
        <w:rPr>
          <w:rFonts w:ascii="Arial" w:hAnsi="Arial" w:cs="Arial"/>
        </w:rPr>
        <w:t xml:space="preserve">. Ezzel összhangban, magas </w:t>
      </w:r>
      <w:proofErr w:type="spellStart"/>
      <w:r>
        <w:rPr>
          <w:rFonts w:ascii="Arial" w:hAnsi="Arial" w:cs="Arial"/>
        </w:rPr>
        <w:t>IFN-α</w:t>
      </w:r>
      <w:proofErr w:type="spellEnd"/>
      <w:r>
        <w:rPr>
          <w:rFonts w:ascii="Arial" w:hAnsi="Arial" w:cs="Arial"/>
        </w:rPr>
        <w:t xml:space="preserve"> szinttel-asszociált </w:t>
      </w:r>
      <w:proofErr w:type="spellStart"/>
      <w:r>
        <w:rPr>
          <w:rFonts w:ascii="Arial" w:hAnsi="Arial" w:cs="Arial"/>
        </w:rPr>
        <w:t>psoriasisban</w:t>
      </w:r>
      <w:proofErr w:type="spellEnd"/>
      <w:r>
        <w:rPr>
          <w:rFonts w:ascii="Arial" w:hAnsi="Arial" w:cs="Arial"/>
        </w:rPr>
        <w:t xml:space="preserve"> szenvedő betegek </w:t>
      </w:r>
      <w:proofErr w:type="spellStart"/>
      <w:r>
        <w:rPr>
          <w:rFonts w:ascii="Arial" w:hAnsi="Arial" w:cs="Arial"/>
        </w:rPr>
        <w:t>pDS-eiben</w:t>
      </w:r>
      <w:proofErr w:type="spellEnd"/>
      <w:r>
        <w:rPr>
          <w:rFonts w:ascii="Arial" w:hAnsi="Arial" w:cs="Arial"/>
        </w:rPr>
        <w:t xml:space="preserve"> is szignifikánsan alacsonyabb </w:t>
      </w:r>
      <w:proofErr w:type="spellStart"/>
      <w:r>
        <w:rPr>
          <w:rFonts w:ascii="Arial" w:hAnsi="Arial" w:cs="Arial"/>
        </w:rPr>
        <w:t>CpG-B</w:t>
      </w:r>
      <w:proofErr w:type="spellEnd"/>
      <w:r>
        <w:rPr>
          <w:rFonts w:ascii="Arial" w:hAnsi="Arial" w:cs="Arial"/>
        </w:rPr>
        <w:t xml:space="preserve"> indukált pro-IL-1</w:t>
      </w:r>
      <w:r w:rsidRPr="006A79B1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termelődést detektáltunk az egészséges egyénekhez képest.</w:t>
      </w:r>
    </w:p>
    <w:p w:rsidR="0045382E" w:rsidRDefault="0045382E" w:rsidP="0045382E">
      <w:pPr>
        <w:spacing w:after="0"/>
        <w:jc w:val="both"/>
        <w:rPr>
          <w:rFonts w:ascii="Arial" w:hAnsi="Arial" w:cs="Arial"/>
        </w:rPr>
      </w:pPr>
      <w:r w:rsidRPr="006A79B1">
        <w:rPr>
          <w:rFonts w:ascii="Arial" w:hAnsi="Arial" w:cs="Arial"/>
          <w:b/>
        </w:rPr>
        <w:t>Konklúzió:</w:t>
      </w:r>
      <w:r>
        <w:rPr>
          <w:rFonts w:ascii="Arial" w:hAnsi="Arial" w:cs="Arial"/>
        </w:rPr>
        <w:t xml:space="preserve"> Eredményeink szerint az NLRP3</w:t>
      </w:r>
      <w:r w:rsidRPr="006A79B1">
        <w:rPr>
          <w:rFonts w:ascii="Arial" w:hAnsi="Arial" w:cs="Arial"/>
        </w:rPr>
        <w:t>-függő</w:t>
      </w:r>
      <w:r w:rsidRPr="00F851B6">
        <w:rPr>
          <w:rFonts w:ascii="Arial" w:hAnsi="Arial" w:cs="Arial"/>
        </w:rPr>
        <w:t xml:space="preserve"> IL-1β szekréciós útvonal</w:t>
      </w:r>
      <w:r>
        <w:rPr>
          <w:rFonts w:ascii="Arial" w:hAnsi="Arial" w:cs="Arial"/>
        </w:rPr>
        <w:t xml:space="preserve"> indukálható humán </w:t>
      </w:r>
      <w:proofErr w:type="spellStart"/>
      <w:r>
        <w:rPr>
          <w:rFonts w:ascii="Arial" w:hAnsi="Arial" w:cs="Arial"/>
        </w:rPr>
        <w:t>pDS-ekben</w:t>
      </w:r>
      <w:proofErr w:type="spellEnd"/>
      <w:r>
        <w:rPr>
          <w:rFonts w:ascii="Arial" w:hAnsi="Arial" w:cs="Arial"/>
        </w:rPr>
        <w:t xml:space="preserve">, mely ugyanakkor </w:t>
      </w:r>
      <w:proofErr w:type="spellStart"/>
      <w:r>
        <w:rPr>
          <w:rFonts w:ascii="Arial" w:hAnsi="Arial" w:cs="Arial"/>
        </w:rPr>
        <w:t>I-es</w:t>
      </w:r>
      <w:proofErr w:type="spellEnd"/>
      <w:r>
        <w:rPr>
          <w:rFonts w:ascii="Arial" w:hAnsi="Arial" w:cs="Arial"/>
        </w:rPr>
        <w:t xml:space="preserve"> típusú </w:t>
      </w:r>
      <w:proofErr w:type="spellStart"/>
      <w:r>
        <w:rPr>
          <w:rFonts w:ascii="Arial" w:hAnsi="Arial" w:cs="Arial"/>
        </w:rPr>
        <w:t>IFN-ok</w:t>
      </w:r>
      <w:proofErr w:type="spellEnd"/>
      <w:r>
        <w:rPr>
          <w:rFonts w:ascii="Arial" w:hAnsi="Arial" w:cs="Arial"/>
        </w:rPr>
        <w:t xml:space="preserve"> jelenlétében gátolható. Így a </w:t>
      </w:r>
      <w:proofErr w:type="spellStart"/>
      <w:r>
        <w:rPr>
          <w:rFonts w:ascii="Arial" w:hAnsi="Arial" w:cs="Arial"/>
        </w:rPr>
        <w:t>pDS-ek</w:t>
      </w:r>
      <w:proofErr w:type="spellEnd"/>
      <w:r>
        <w:rPr>
          <w:rFonts w:ascii="Arial" w:hAnsi="Arial" w:cs="Arial"/>
        </w:rPr>
        <w:t xml:space="preserve"> </w:t>
      </w:r>
      <w:r w:rsidRPr="006A79B1">
        <w:rPr>
          <w:rFonts w:ascii="Arial" w:hAnsi="Arial" w:cs="Arial"/>
        </w:rPr>
        <w:t>IL-</w:t>
      </w:r>
      <w:r>
        <w:rPr>
          <w:rFonts w:ascii="Arial" w:hAnsi="Arial" w:cs="Arial"/>
        </w:rPr>
        <w:t xml:space="preserve">1β-mediált válasza főként olyan gyulladás során érvényesülhet, ami nem jár együtt fokozott </w:t>
      </w:r>
      <w:proofErr w:type="spellStart"/>
      <w:r>
        <w:rPr>
          <w:rFonts w:ascii="Arial" w:hAnsi="Arial" w:cs="Arial"/>
        </w:rPr>
        <w:t>I-es</w:t>
      </w:r>
      <w:proofErr w:type="spellEnd"/>
      <w:r>
        <w:rPr>
          <w:rFonts w:ascii="Arial" w:hAnsi="Arial" w:cs="Arial"/>
        </w:rPr>
        <w:t xml:space="preserve"> típusú IFN útvonal aktivitással.</w:t>
      </w:r>
    </w:p>
    <w:p w:rsidR="0045382E" w:rsidRPr="00C626D3" w:rsidRDefault="0045382E" w:rsidP="0045382E">
      <w:pPr>
        <w:spacing w:after="0"/>
        <w:jc w:val="both"/>
        <w:rPr>
          <w:rFonts w:ascii="Arial" w:hAnsi="Arial" w:cs="Arial"/>
        </w:rPr>
      </w:pPr>
      <w:r w:rsidRPr="006A79B1">
        <w:rPr>
          <w:rFonts w:ascii="Arial" w:hAnsi="Arial" w:cs="Arial"/>
          <w:b/>
        </w:rPr>
        <w:t>Támogatás:</w:t>
      </w:r>
      <w:r w:rsidRPr="006A79B1">
        <w:rPr>
          <w:rFonts w:ascii="Arial" w:hAnsi="Arial" w:cs="Arial"/>
        </w:rPr>
        <w:t xml:space="preserve"> </w:t>
      </w:r>
      <w:r w:rsidRPr="006A79B1">
        <w:rPr>
          <w:rFonts w:ascii="Arial" w:hAnsi="Arial" w:cs="Arial"/>
          <w:shd w:val="clear" w:color="auto" w:fill="FFFFFF"/>
        </w:rPr>
        <w:t>A kutatás az NKFIH FK 128294 és GINOP-2.3.2-15-2016-00050 projektek, az MTA Bolyai János kutatási ösztöndíj és az Innovációs és Technológiai Minisztérium</w:t>
      </w:r>
      <w:r w:rsidRPr="005A45F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ÚNKP-20-5-DE-3</w:t>
      </w:r>
      <w:r w:rsidRPr="00A9066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kódszámú Új Nemzeti Kiválóság P</w:t>
      </w:r>
      <w:r w:rsidRPr="006A79B1">
        <w:rPr>
          <w:rFonts w:ascii="Arial" w:hAnsi="Arial" w:cs="Arial"/>
          <w:shd w:val="clear" w:color="auto" w:fill="FFFFFF"/>
        </w:rPr>
        <w:t xml:space="preserve">rogramjának </w:t>
      </w:r>
      <w:r>
        <w:rPr>
          <w:rFonts w:ascii="Arial" w:hAnsi="Arial" w:cs="Arial"/>
          <w:shd w:val="clear" w:color="auto" w:fill="FFFFFF"/>
        </w:rPr>
        <w:t>a Nemzeti Kutatási, Fejlesztési és I</w:t>
      </w:r>
      <w:r w:rsidRPr="00052F76">
        <w:rPr>
          <w:rFonts w:ascii="Arial" w:hAnsi="Arial" w:cs="Arial"/>
          <w:shd w:val="clear" w:color="auto" w:fill="FFFFFF"/>
        </w:rPr>
        <w:t>nnovációs alapból finanszírozot</w:t>
      </w:r>
      <w:r>
        <w:rPr>
          <w:rFonts w:ascii="Arial" w:hAnsi="Arial" w:cs="Arial"/>
          <w:shd w:val="clear" w:color="auto" w:fill="FFFFFF"/>
        </w:rPr>
        <w:t>t szakmai támogatásával készült.</w:t>
      </w:r>
    </w:p>
    <w:p w:rsidR="00CD08D9" w:rsidRDefault="00CD08D9" w:rsidP="0045382E">
      <w:pPr>
        <w:pStyle w:val="NormlWeb"/>
        <w:shd w:val="clear" w:color="auto" w:fill="FFFFFF"/>
        <w:spacing w:before="0" w:beforeAutospacing="0" w:afterAutospacing="0"/>
        <w:jc w:val="both"/>
      </w:pPr>
      <w:bookmarkStart w:id="0" w:name="_GoBack"/>
      <w:bookmarkEnd w:id="0"/>
    </w:p>
    <w:sectPr w:rsidR="00CD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D9"/>
    <w:rsid w:val="0045382E"/>
    <w:rsid w:val="00A2246D"/>
    <w:rsid w:val="00A47BC4"/>
    <w:rsid w:val="00C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93090-B7D0-4781-BADB-6B973278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08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2246D"/>
    <w:rPr>
      <w:b/>
      <w:bCs/>
    </w:rPr>
  </w:style>
  <w:style w:type="paragraph" w:styleId="NormlWeb">
    <w:name w:val="Normal (Web)"/>
    <w:basedOn w:val="Norml"/>
    <w:uiPriority w:val="99"/>
    <w:unhideWhenUsed/>
    <w:rsid w:val="00A2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1157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2021-06-07T07:05:00Z</dcterms:created>
  <dcterms:modified xsi:type="dcterms:W3CDTF">2021-06-07T12:52:00Z</dcterms:modified>
</cp:coreProperties>
</file>