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C8" w:rsidRPr="00A91EF0" w:rsidRDefault="00795CC8" w:rsidP="00795C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Új terápiás lehetőségek a genetikai diagnózis birtokában, primer immunhiányos állapotokban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Kriván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Gergely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Goda Vera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Kardon Tamás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Dél-pesti Centrumkórház Országos Hematológiai és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Infektológiai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Intézet,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Gyermekhematológiai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és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Őssejtranszplantációs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1097 Budapest, Albert Flórián u. 5.-7.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Semmelweis Egyetem, Biokémia és Molekuláris Biológiai Intézet, Molekuláris Biológiai Tanszék</w:t>
      </w:r>
      <w:proofErr w:type="gram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</w:t>
      </w:r>
      <w:proofErr w:type="gram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95CC8" w:rsidRPr="00A91EF0" w:rsidRDefault="00795CC8" w:rsidP="00795CC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 primer immunhiányos betegségek (PID) ritka kórképek, amelyek elsősorban a fertőzésekre való fokozott fogékonyságban, másrészt az immunreguláció zavaraiban nyilvánulnak meg. A klinikai kép és az immunológiai eltérések nagyfokú átfedést mutathatnak, így ezek alapján csak a kórképek egy része diagnosztizálható. A genetikai háttér tisztázása a diagnózis korai felállításán, az öröklésmenet feltárásán és a prognózis meghatározásán túl új terápiás lehetőségeket is lehetővé tehet. Az új, innovatív, célzott kezelések a kórképek immunológiai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patobiokémiai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alapját szolgáló jelátviteli vagy anyagcsere utakat befolyásolva helyreállítják a komplex klinikai eltéréseket és alapvetően változtatják meg a betegek életminőségét. Az előadásban 3 új terápiás lehetőségről számolunk be. A CTLA-4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haploinsufficiencia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kimutatása lehetővé tette egy CTLA-4-IgGFc receptor fúziós protein,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abatacept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alkalmazását a közönséges változó immunhiányban (CVID) szenvedő betegünk esetében. A kezelésnek köszönhetően a beteg autoimmun manifesztációi gyógyultak. A glükóz-6-foszfatáz katalitikus alegység3 (G6PC3) defektus miatt kialakult 4-es típusú súlyos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congenitalis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neutropeniában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 beteg abszolút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neutrophil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száma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másodnaponta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adott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szubkután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granulocyta-kolónia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stimuláló faktor (G-CSF) injekciókkal normalizálható. A 2-es típusú diabetesben orálisan alkalmazott glükóz-csökkentő SGLT2 inhibitor,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empagliflozin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sikeresnek bizonyult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neutropenia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megszüntetésében és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neutrofil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funkció helyreállításában, így a fájdalmas és költséges injekciós kezelés elhagyhatóvá vált. Végül, egy súlyos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granuloma-képződéssel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autoimmun manifesztációkkal járó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CVID-ben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szenvedő betegünknél egy fontos jelátviteli molekula a spleen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tyrosine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kinase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(SYK) funkciónyerő mutációját találtuk. Egy kis molekulájú SYK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tirozin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kináz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inhibitor,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fostamatinib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törzskönyvezett gyógyszer terápia-rezisztens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immunthrombocytopeniában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(ITP), ezért alkalmazható betegünkben.</w:t>
      </w:r>
    </w:p>
    <w:p w:rsidR="00515814" w:rsidRDefault="00515814" w:rsidP="00795CC8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795CC8" w:rsidRPr="00A91EF0" w:rsidRDefault="00795CC8" w:rsidP="00795C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proofErr w:type="spellStart"/>
      <w:proofErr w:type="gram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Autoreaktív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B-sejtek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keletkezése és sorsa RAG1/2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hypomorf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mutáns betegekben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Blazsó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Péter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Csomós Krisztián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Újházi Boglárka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Walter Jolán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 3 4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Gyermekgyógyászati Klinika, Szegedi Tudományegyetem, , 6725 Szeged, Korányi fasor 14-15.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Children’s Research Institute, University of South Florida, , St.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Petersburg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FL, USA,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3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Johns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Hopkins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All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Children’s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Hospital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, , St.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Petersburg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FL, USA,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4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Massachusetts General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Hospital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for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Children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, , Boston, MA, USA,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95CC8" w:rsidRPr="00A91EF0" w:rsidRDefault="00795CC8" w:rsidP="00795CC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Egészségesekben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klónok egyrészt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anerg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állapotba kerülnek, elvesztik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autoreaktivitásukat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vagy elpusztulnak a tolerancia ellenőrző pontoknál. Hibás tolerancia mechanizmusok esetén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klónok fennmaradhatnak és hozzájárulhatnak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autoantitest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képző memória-/plazmasejt állomány keletkezéséhez.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hypomorf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RAG1/2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recombination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activating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gene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) mutáns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betegekben korábban megfigyelték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humorális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autoimmunitás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kialakulását, amely változatos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autoantitest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képződéssel és autoimmun megjelenéssel jár. Ezen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plazmasejtek keletkezésének ideje és mechanizmusa nem teljesen tisztázott. Feltételezésünk szerint részleges RAG1/2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deficienciában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már a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korai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naïve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kompartmentben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klónok élnek túl és növekednek elsősorban a 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lastRenderedPageBreak/>
        <w:t xml:space="preserve">centrális tolerancia zavara miatt. Célul tűztük ki, hogy a betegekből származó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jelleget mutató egyedi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B-sejteket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leszármazottaikat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nyomonkövetjük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az egyes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kompartmentekben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illetve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receptor repertoár szinten feltárjuk azokat a változásokat, amelyekkel magyarázni is lehet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progrediáló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humorális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autoimmunitását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 és egészséges kontroll személyek perifériás vérmintáján végeztük a vizsgálatokat.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vitro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monoklónális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antitesteket termeltettünk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egyedi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naïve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B-sejtek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átrendeződött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receptor (BCR) nehéz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IgH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) és könnyű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láncának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mRNS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klónozása után. Ezeket az antitesteket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tulajdonságra teszteltük. Ezek mellett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érett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naïve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aktivált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naïve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memória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B-sejtekből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származó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mRNS-eken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BCR repertoár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szekvenálást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végeztünk. Saját fejlesztésű algoritmusokat alkalmazva egyrészt nyomon követtük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polireaktivitást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mutató antitestek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IgH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szekvenciáit és ezek leszármazottait az egyes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kompartmentek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BCR repertoárjában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ImmChainTracker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), másrészt repertoár szinten megjelenítettük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kompartmenten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belüli klónok méretbeli és leszármazási viszonyait (AIRRNAT). Az 5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betegből és 7 egészséges kontrollból álló vizsgálatsorozatban a betegeknél nagyobb gyakorisággal találtunk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klónokat, mint az egészségesekben. Az egészségesek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érett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naïve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sejtjeiből klónozott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antitestek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IgH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szekvenciái és ezek leszármazottai nem voltak jelen, ezzel szemben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betegeknél a klónozott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IgH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szekvenciák 28,8%-át vagy leszármazottaikat megtaláltuk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érés későbbi fázisainak megfelelő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effektor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kompartmentekben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is. A teljes BCR repertoár elemzés tovább erősítette a felvetésünket, miszerint jelentős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klónális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növekedés és antigén szelekciós nyomásnak változóan kitett diverzifikáció zajlik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érett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naïve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B-sejtjeiben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. Eredményeinkből kiolvasható, hogy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betegekben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poli-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B-sejt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klónok fennmaradnak, elterjednek és diverzifikálódnak.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effektor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(memória- és plazmasejt)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kompartmentekben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is megjelenő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polireaktív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klónok végül fenntarthatják 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pRD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betegekben megfigyelhető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humorális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autoimmun választ.</w:t>
      </w:r>
    </w:p>
    <w:p w:rsidR="00795CC8" w:rsidRDefault="00795CC8" w:rsidP="00795C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</w:pPr>
    </w:p>
    <w:p w:rsidR="00795CC8" w:rsidRPr="00A91EF0" w:rsidRDefault="00515814" w:rsidP="00795C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Az aktivált PI3 </w:t>
      </w:r>
      <w:proofErr w:type="spell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kináz</w:t>
      </w:r>
      <w:proofErr w:type="spellEnd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delta szindróma diagnosztikája és terápia esetbemutatásokkal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bookmarkStart w:id="0" w:name="_GoBack"/>
      <w:bookmarkEnd w:id="0"/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Goda Vera</w:t>
      </w:r>
      <w:r w:rsidR="00795CC8"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Kriván</w:t>
      </w:r>
      <w:proofErr w:type="spellEnd"/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Gergely</w:t>
      </w:r>
      <w:r w:rsidR="00795CC8"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Dobner</w:t>
      </w:r>
      <w:proofErr w:type="spellEnd"/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Sára</w:t>
      </w:r>
      <w:r w:rsidR="00795CC8"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="00795CC8"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DPC Kórház Országos Hematológiai és </w:t>
      </w:r>
      <w:proofErr w:type="spellStart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Infektológiai</w:t>
      </w:r>
      <w:proofErr w:type="spellEnd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Intézet, </w:t>
      </w:r>
      <w:proofErr w:type="spellStart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Gyermekhematológiai</w:t>
      </w:r>
      <w:proofErr w:type="spellEnd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és őssejt transzplantációs osztály, 1036 Budapest III., Lajos utca 105</w:t>
      </w:r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="00795CC8"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SE </w:t>
      </w:r>
      <w:proofErr w:type="spellStart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II.sz</w:t>
      </w:r>
      <w:proofErr w:type="spellEnd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. Gyermekklinika, </w:t>
      </w:r>
      <w:proofErr w:type="spellStart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GYermekneurológiai</w:t>
      </w:r>
      <w:proofErr w:type="spellEnd"/>
      <w:r w:rsidR="00795CC8"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 osztály, 1094 Budapest, Tűzoltó 7.</w:t>
      </w:r>
      <w:r w:rsidR="00795CC8"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95CC8" w:rsidRPr="00A91EF0" w:rsidRDefault="00795CC8" w:rsidP="00795CC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Az aktivált PI3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kináz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delta szindróma (APDS) primer immunhiány, amelyet olyan funkciónyerő mutációk okoznak, amelyek fokozzák a foszfoinozidid-3-kináz δ (PI3Kδ) aktivitását. A mutációk a PI3Kδ p110δ katalitikus alegységet kódolják, vagy a PIK3R1 gén mutációin át a p85α szabályozó alegységet (APDS2) érintik. Jelenleg világszerte több mint 200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APDS-beteget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azonosítottak már, és tisztázott a PI3Kδ aktiválásához vezető molekuláris mechanizmus, így ismét egy primer immunhiány segített a PI3Kδ emberi immunrendszerben betöltött szerepének megértésében. A betegeknél jelentős előny, hogy célirányos kezelésként lehetővé vált a szelektív PI3Kδ inhibitorok alkalmazása, míg korában csak nem specifikus terápiában részesültek. Két gyermekkori eset kapcsán szeretnénk bemutatni az APDS klinikai jellegzetességeit és terápiás megközelítését.</w:t>
      </w:r>
    </w:p>
    <w:p w:rsidR="00A47BC4" w:rsidRDefault="00A47BC4"/>
    <w:p w:rsidR="00795CC8" w:rsidRPr="00A91EF0" w:rsidRDefault="00795CC8" w:rsidP="00795CC8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proofErr w:type="gramStart"/>
      <w:r w:rsidRPr="00A91EF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lastRenderedPageBreak/>
        <w:t>Emberi IL2RG stabil termelése differenciálódó egér sejtekben nem-integrálódó vektorról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Blazsó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u w:val="single"/>
          <w:bdr w:val="none" w:sz="0" w:space="0" w:color="auto" w:frame="1"/>
          <w:lang w:eastAsia="hu-HU"/>
        </w:rPr>
        <w:t xml:space="preserve"> Péter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1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Fajka-Boja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Roberta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2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Praznovszky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Tünde, Csonka Erika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3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Fodor Katalin, Udvardy Andor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4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, Katona Róbert</w:t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 5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1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Gyermekgyógyászati Klinika, Szegedi Tudományegyetem, , 6725 Szeged, Korányi fasor 14-15.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2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Genetikai Intézet, Szegedi Biológiai Kutatóközpont, , Szeged,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3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SOLVO Biotechnológiai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Zrt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., , Szeged,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4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Biokémiai Intézet, Szegedi Biológiai Kutatóközpont, , Szeged,</w:t>
      </w: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  <w:r w:rsidRPr="00A91EF0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  <w:vertAlign w:val="superscript"/>
          <w:lang w:eastAsia="hu-HU"/>
        </w:rPr>
        <w:t>5</w:t>
      </w:r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 xml:space="preserve">INPAMAC </w:t>
      </w:r>
      <w:proofErr w:type="spellStart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Zrt</w:t>
      </w:r>
      <w:proofErr w:type="spellEnd"/>
      <w:r w:rsidRPr="00A91EF0">
        <w:rPr>
          <w:rFonts w:ascii="inherit" w:eastAsia="Times New Roman" w:hAnsi="inherit" w:cs="Times New Roman"/>
          <w:i/>
          <w:iCs/>
          <w:color w:val="000000"/>
          <w:sz w:val="20"/>
          <w:szCs w:val="20"/>
          <w:bdr w:val="none" w:sz="0" w:space="0" w:color="auto" w:frame="1"/>
          <w:lang w:eastAsia="hu-HU"/>
        </w:rPr>
        <w:t>., , Szeged,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br/>
      </w:r>
    </w:p>
    <w:p w:rsidR="00795CC8" w:rsidRPr="00A91EF0" w:rsidRDefault="00795CC8" w:rsidP="00795CC8">
      <w:pPr>
        <w:spacing w:before="150" w:after="180" w:line="240" w:lineRule="auto"/>
        <w:ind w:left="150"/>
        <w:jc w:val="both"/>
        <w:textAlignment w:val="baseline"/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</w:pPr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X-hez kötött súlyos, kombinált immundefektus (X-SCID) egy ritka, veleszületett betegség, melynek a hátterében az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interleukin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2 gamma alegységének (IL2RG) hibája áll. Mivel ez a fehérje központi komponense a -2, -4, -7, -9, -15, -21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interleukin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receptoroknak, így az ezeken keresztüli jelátviteli elégtelenség súlyos funkciózavart okoz a T-, B- és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NK-sejtek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működésében. Ennélfogva, az adaptív immunvédelem szinte teljes kiesése miatt súlyos fertőző betegségek uralják a klinikai képet, melyek - még a kombinált fertőzésellenes kezelés mellett is - általában a beteg csecsemő-kisdedkori halálához vezetnek. Oki kezelésére, HLA kompatibilis vagy egyező donor hiányában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allogén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csontvelői őssejt transzplantációra az esetek egy részében nincs (időben) lehetőség. Mintegy 20 éve ennek áthidalására saját csontvelői őssejtek genetikai menekítését (génterápiáját) majd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autológ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transzplantációját kísérelték meg és végezték el sikerrel. Az esetek mintegy 25 százalékában azonban a génterápiára alkalmazott vírusvektor akut leukémiát idézett elő a betegeknél. Jóllehet, további fejlesztésekkel csökkentették </w:t>
      </w:r>
      <w:proofErr w:type="gram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ezen</w:t>
      </w:r>
      <w:proofErr w:type="gram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vektorok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onkogén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potenciálját, de a humán genom módosítását célzó jelenlegi módszereknél (integráns vírusvektorok, génszerkesztő eljárások) továbbra is fennáll a DNS rekombinációs mechanizmusokból eredő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genotoxicitás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kockázata. A korábbiakban már kimutattuk, hogy az emlős mesterséges kromoszóma (MAC) és ennek utódja a mesterséges kromoszóma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expressziós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rendszer (ACE) nem integrálódó, biztonságos, stabil és megbízható alternatívát jelent, mint génbeviteli eszköz. Jelen munkánkban a humán IL2RG alegységet stabilan termelő mesterséges kromoszómát hoztunk létre (IL2RG-ACE) egy kínai hörcsög ovárium (CHO) sejtvonalban már rendelkezésre álló feltölthető kromoszómára (ACE) alapozva. Az így elkészült IL2RG-ACE kromoszóma vektort R1 egér embrionális őssejtekbe (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mouse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embryonic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stem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cell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) ültettük át. A hordozó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sejtvonalakban az IL2RG-ACE számfeletti kromoszómát stabilnak és önállóan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replikálódónak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találtuk. Továbbá a hordozó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telepek sem morfológiai, sem funkcionális különbséget nem mutattak a natív R1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telepekhez képest. A hordozó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mESC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sejtcsoportok embriótestekké történő sikeres differenciáltatása során az IL2RG termelés is mindvégig változatlan maradt. Összességében kijelenthető, hogy létrehoztunk egy megbízható, számfeletti kromoszómaként autonóm módon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replikálódó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, konstitutív humán IL2RG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expressziót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biztosító alternatív vektort, amellyel remélhetően jelentősen csökkenthetők, akár kiküszöbölhetők az eddig használt vektoroknál vagy genom módosító eljárásoknál fennálló </w:t>
      </w:r>
      <w:proofErr w:type="spellStart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>genotoxikus</w:t>
      </w:r>
      <w:proofErr w:type="spellEnd"/>
      <w:r w:rsidRPr="00A91EF0">
        <w:rPr>
          <w:rFonts w:ascii="Source Sans Pro" w:eastAsia="Times New Roman" w:hAnsi="Source Sans Pro" w:cs="Times New Roman"/>
          <w:color w:val="000000"/>
          <w:sz w:val="24"/>
          <w:szCs w:val="24"/>
          <w:lang w:eastAsia="hu-HU"/>
        </w:rPr>
        <w:t xml:space="preserve"> kockázatok.</w:t>
      </w:r>
    </w:p>
    <w:p w:rsidR="00795CC8" w:rsidRDefault="00795CC8"/>
    <w:sectPr w:rsidR="0079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C8"/>
    <w:rsid w:val="00515814"/>
    <w:rsid w:val="00795CC8"/>
    <w:rsid w:val="00A4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DA77-0DCE-4DC0-ADD3-DFFBE0F9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C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1267</Words>
  <Characters>8743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2021-06-07T05:55:00Z</dcterms:created>
  <dcterms:modified xsi:type="dcterms:W3CDTF">2021-06-07T08:46:00Z</dcterms:modified>
</cp:coreProperties>
</file>