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F5" w:rsidRPr="00A91EF0" w:rsidRDefault="004C6BF5" w:rsidP="004C6BF5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krónikus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rinoszinuszitisz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(CRS) diagnosztikája és kezelése az új európai ajánlás tükrében (EPOS 2020)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Bella Zsolt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Kiricsi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Ágnes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SZTE AOK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Fül-Orr-Gégészeti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Fej-Nyaksebészeti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Klinika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6722 Szeged, Tisza L. krt. 111.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4C6BF5" w:rsidRPr="00A91EF0" w:rsidRDefault="004C6BF5" w:rsidP="004C6BF5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krónikus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rinoszinuszitisz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polippal vagy polip nélkül gyakori diagnosztikus és terápiás kihívást jelent a mindennapi fül-orr-gégészeti gyakorlatban. A diagnózis felállításához a tüneteken kívül a CT vagy endoszkópos leletek értékelése szükséges. Az EPOS 2020 újra hangsúlyozza a betegség gyulladásos/immunológiai jellegét. A klasszifikációban primer és szekunder, valamint diffúz és lokalizált formát különíthetünk el, az elsődleges folyamatokat pedig 1-es és 2-es típusú gyulladással jellemezhető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endotípusba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lehet besorolni. A 2012 után megújított és kibővített ajánlás külön kiemeli a különböző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fenotípusok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eltérő klinikai viselkedését és a megfelelő terápia kiválasztásának folyamatát.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etiológiai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tényezők tanulmányozása és a 2-es típusú gyulladás jelenléte, valamint központi szerepe indokolja a biológiai terápiák bevezetésének szükségességét ebben a kórképben is. Milyen szerepe van a sebészi terápiának (FESS)?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tradícionális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konzervatív terápiában van-e változás? Mik az indikációk és tapasztalatok a biológiai terápiával? Az előadásunkban ezekre a kérdésekre keressük a választ.</w:t>
      </w:r>
    </w:p>
    <w:p w:rsidR="004C6BF5" w:rsidRDefault="004C6BF5" w:rsidP="004C6BF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4C6BF5" w:rsidRDefault="004C6BF5" w:rsidP="004C6BF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4C6BF5" w:rsidRPr="00A91EF0" w:rsidRDefault="004C6BF5" w:rsidP="004C6BF5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Paradigmaváltás a krónikus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rhinosinusitis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kétoldali diffúz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orrpoliposissal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járó formájának konzervatív kezelésében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Kiricsi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Ágnes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Bella Zsolt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SZTE Fül-orr-gégészeti és Fej-nyaksebészeti Klinika, Fül-orr-gégészet, 6725 Szeged, Tisza L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krt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111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4C6BF5" w:rsidRPr="00A91EF0" w:rsidRDefault="004C6BF5" w:rsidP="004C6BF5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2020-ban aktualizált EPOS összefoglalja a krónikus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rhinosinusitis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patofiziológiáját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csoportosítását és kezelését illető új ismereteket. A diffúz 2-es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endotipusba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sorolható, recidiváló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CRSwNP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kezelésére elérhető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rekombináns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humán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monoklonális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 terápia alkalmazhatóságának feltételeit az Egészségügyi Szakmai Kollégium Fül-orr-gégészeti tagozatának szakmai kollégiuma egy idén megjelent állásfoglalásban jól definiálja. A nemzetközi szakmai ajánlással egybehangzóan azon esetekben alkalmazható biológiai terápia, amikor a maximális gyógyszeres és műtéti kezelés ellenére a beteg életminősége tartósan,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nagy mértékben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leromlott. Előadásunkban összefoglaljuk a biológiai terápiával szerzett eddigi tapasztalatainkat, az alkalmazhatóság feltételeit és a betegkövetés elvárható módszertanának részleteit.</w:t>
      </w:r>
    </w:p>
    <w:p w:rsidR="004C6BF5" w:rsidRPr="00A91EF0" w:rsidRDefault="005E62BF" w:rsidP="004C6BF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876pt;height:.75pt" o:hrpct="0" o:hrstd="t" o:hrnoshade="t" o:hr="t" fillcolor="black" stroked="f"/>
        </w:pict>
      </w:r>
    </w:p>
    <w:p w:rsidR="004C6BF5" w:rsidRDefault="004C6BF5" w:rsidP="004C6BF5">
      <w:pPr>
        <w:rPr>
          <w:rFonts w:cs="Times New Roman"/>
          <w:b/>
          <w:sz w:val="24"/>
          <w:szCs w:val="24"/>
        </w:rPr>
      </w:pPr>
      <w:r w:rsidRPr="00A140C9">
        <w:rPr>
          <w:rFonts w:cs="Times New Roman"/>
          <w:b/>
          <w:sz w:val="28"/>
          <w:szCs w:val="28"/>
        </w:rPr>
        <w:t xml:space="preserve">Az </w:t>
      </w:r>
      <w:proofErr w:type="spellStart"/>
      <w:r w:rsidRPr="00A140C9">
        <w:rPr>
          <w:rFonts w:cs="Times New Roman"/>
          <w:b/>
          <w:sz w:val="28"/>
          <w:szCs w:val="28"/>
        </w:rPr>
        <w:t>endoscopos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Narrow-Band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Imagine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(NBI) technika nyújtotta diagnosztikus lehetőség </w:t>
      </w:r>
      <w:proofErr w:type="spellStart"/>
      <w:r w:rsidRPr="00A140C9">
        <w:rPr>
          <w:rFonts w:cs="Times New Roman"/>
          <w:b/>
          <w:sz w:val="28"/>
          <w:szCs w:val="28"/>
        </w:rPr>
        <w:t>rhinitis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allergicában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és </w:t>
      </w:r>
      <w:proofErr w:type="spellStart"/>
      <w:r w:rsidRPr="00A140C9">
        <w:rPr>
          <w:rFonts w:cs="Times New Roman"/>
          <w:b/>
          <w:sz w:val="28"/>
          <w:szCs w:val="28"/>
        </w:rPr>
        <w:t>chronicus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rhinosinusitis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nasalis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0C9">
        <w:rPr>
          <w:rFonts w:cs="Times New Roman"/>
          <w:b/>
          <w:sz w:val="28"/>
          <w:szCs w:val="28"/>
        </w:rPr>
        <w:t>polyposissal</w:t>
      </w:r>
      <w:proofErr w:type="spellEnd"/>
      <w:r w:rsidRPr="00A140C9">
        <w:rPr>
          <w:rFonts w:cs="Times New Roman"/>
          <w:b/>
          <w:sz w:val="28"/>
          <w:szCs w:val="28"/>
        </w:rPr>
        <w:t xml:space="preserve"> (</w:t>
      </w:r>
      <w:proofErr w:type="spellStart"/>
      <w:r w:rsidRPr="00A140C9">
        <w:rPr>
          <w:rFonts w:cs="Times New Roman"/>
          <w:b/>
          <w:sz w:val="28"/>
          <w:szCs w:val="28"/>
        </w:rPr>
        <w:t>CRSwNP</w:t>
      </w:r>
      <w:proofErr w:type="spellEnd"/>
      <w:r w:rsidRPr="00A140C9">
        <w:rPr>
          <w:rFonts w:cs="Times New Roman"/>
          <w:b/>
          <w:sz w:val="28"/>
          <w:szCs w:val="28"/>
        </w:rPr>
        <w:t>) járó formáiban</w:t>
      </w:r>
    </w:p>
    <w:p w:rsidR="004C6BF5" w:rsidRPr="00D76A6D" w:rsidRDefault="004C6BF5" w:rsidP="004C6BF5">
      <w:pPr>
        <w:rPr>
          <w:rFonts w:cs="Times New Roman"/>
          <w:b/>
          <w:sz w:val="24"/>
          <w:szCs w:val="24"/>
        </w:rPr>
      </w:pPr>
    </w:p>
    <w:p w:rsidR="004C6BF5" w:rsidRDefault="004C6BF5" w:rsidP="004C6BF5">
      <w:pPr>
        <w:rPr>
          <w:rFonts w:cs="Times New Roman"/>
          <w:b/>
          <w:sz w:val="28"/>
          <w:szCs w:val="28"/>
        </w:rPr>
      </w:pPr>
      <w:r w:rsidRPr="00D76A6D">
        <w:rPr>
          <w:rFonts w:cs="Times New Roman"/>
          <w:b/>
          <w:sz w:val="28"/>
          <w:szCs w:val="28"/>
        </w:rPr>
        <w:t>Tóth László</w:t>
      </w:r>
    </w:p>
    <w:p w:rsidR="004C6BF5" w:rsidRDefault="004C6BF5" w:rsidP="004C6BF5">
      <w:pPr>
        <w:rPr>
          <w:rFonts w:cs="Times New Roman"/>
          <w:b/>
          <w:sz w:val="28"/>
          <w:szCs w:val="28"/>
        </w:rPr>
      </w:pPr>
      <w:r w:rsidRPr="00D76A6D">
        <w:rPr>
          <w:rFonts w:cs="Times New Roman"/>
          <w:b/>
          <w:sz w:val="28"/>
          <w:szCs w:val="28"/>
        </w:rPr>
        <w:t xml:space="preserve">DE KK Fül-orr-gégészeti és </w:t>
      </w:r>
      <w:proofErr w:type="spellStart"/>
      <w:r w:rsidRPr="00D76A6D">
        <w:rPr>
          <w:rFonts w:cs="Times New Roman"/>
          <w:b/>
          <w:sz w:val="28"/>
          <w:szCs w:val="28"/>
        </w:rPr>
        <w:t>Fej-Nyaksebészeti</w:t>
      </w:r>
      <w:proofErr w:type="spellEnd"/>
      <w:r w:rsidRPr="00D76A6D">
        <w:rPr>
          <w:rFonts w:cs="Times New Roman"/>
          <w:b/>
          <w:sz w:val="28"/>
          <w:szCs w:val="28"/>
        </w:rPr>
        <w:t xml:space="preserve"> Klinika</w:t>
      </w:r>
    </w:p>
    <w:p w:rsidR="004C6BF5" w:rsidRPr="00D76A6D" w:rsidRDefault="004C6BF5" w:rsidP="004C6BF5">
      <w:pPr>
        <w:rPr>
          <w:rFonts w:cs="Times New Roman"/>
          <w:b/>
          <w:sz w:val="28"/>
          <w:szCs w:val="28"/>
        </w:rPr>
      </w:pPr>
    </w:p>
    <w:p w:rsidR="004C6BF5" w:rsidRDefault="004C6BF5" w:rsidP="004C6BF5">
      <w:pPr>
        <w:jc w:val="both"/>
        <w:rPr>
          <w:rFonts w:cs="Times New Roman"/>
          <w:sz w:val="24"/>
          <w:szCs w:val="24"/>
        </w:rPr>
      </w:pPr>
      <w:r w:rsidRPr="000B109E">
        <w:rPr>
          <w:rFonts w:cs="Times New Roman"/>
          <w:sz w:val="24"/>
          <w:szCs w:val="24"/>
        </w:rPr>
        <w:t>Az NBI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rhinitis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allergicás</w:t>
      </w:r>
      <w:proofErr w:type="spellEnd"/>
      <w:r>
        <w:rPr>
          <w:rFonts w:cs="Times New Roman"/>
          <w:sz w:val="24"/>
          <w:szCs w:val="24"/>
        </w:rPr>
        <w:t xml:space="preserve"> és  </w:t>
      </w:r>
      <w:proofErr w:type="spellStart"/>
      <w:r>
        <w:rPr>
          <w:rFonts w:cs="Times New Roman"/>
          <w:sz w:val="24"/>
          <w:szCs w:val="24"/>
        </w:rPr>
        <w:t>chronicus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rhinosinusitis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nasalis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polyposisos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CRSwNP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gramStart"/>
      <w:r>
        <w:rPr>
          <w:rFonts w:cs="Times New Roman"/>
          <w:sz w:val="24"/>
          <w:szCs w:val="24"/>
        </w:rPr>
        <w:t>betegek  orrnyálkahártyán</w:t>
      </w:r>
      <w:proofErr w:type="gramEnd"/>
      <w:r>
        <w:rPr>
          <w:rFonts w:cs="Times New Roman"/>
          <w:sz w:val="24"/>
          <w:szCs w:val="24"/>
        </w:rPr>
        <w:t xml:space="preserve">  létrejövő elváltozásainak felismerésében új lehetőséget jelent.</w:t>
      </w:r>
    </w:p>
    <w:p w:rsidR="004C6BF5" w:rsidRDefault="004C6BF5" w:rsidP="004C6B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módszer vivo vizsgálat során a </w:t>
      </w:r>
      <w:r w:rsidRPr="000B109E">
        <w:rPr>
          <w:rFonts w:cs="Times New Roman"/>
          <w:sz w:val="24"/>
          <w:szCs w:val="24"/>
        </w:rPr>
        <w:t xml:space="preserve">felszíni </w:t>
      </w:r>
      <w:proofErr w:type="spellStart"/>
      <w:r w:rsidRPr="000B109E">
        <w:rPr>
          <w:rFonts w:cs="Times New Roman"/>
          <w:sz w:val="24"/>
          <w:szCs w:val="24"/>
        </w:rPr>
        <w:t>vascularizációval</w:t>
      </w:r>
      <w:proofErr w:type="spellEnd"/>
      <w:r w:rsidRPr="000B109E">
        <w:rPr>
          <w:rFonts w:cs="Times New Roman"/>
          <w:sz w:val="24"/>
          <w:szCs w:val="24"/>
        </w:rPr>
        <w:t xml:space="preserve"> járó elváltozások diagnosztikájában új információkkal gazdagíthatja a megbetegedések korai diagnosztikáját. </w:t>
      </w:r>
      <w:r>
        <w:rPr>
          <w:rFonts w:cs="Times New Roman"/>
          <w:sz w:val="24"/>
          <w:szCs w:val="24"/>
        </w:rPr>
        <w:t>Eddig e</w:t>
      </w:r>
      <w:r w:rsidRPr="000B109E">
        <w:rPr>
          <w:rFonts w:cs="Times New Roman"/>
          <w:sz w:val="24"/>
          <w:szCs w:val="24"/>
        </w:rPr>
        <w:t xml:space="preserve">lsősorban </w:t>
      </w:r>
      <w:proofErr w:type="spellStart"/>
      <w:r w:rsidRPr="000B109E">
        <w:rPr>
          <w:rFonts w:cs="Times New Roman"/>
          <w:sz w:val="24"/>
          <w:szCs w:val="24"/>
        </w:rPr>
        <w:t>gastrointestinális</w:t>
      </w:r>
      <w:proofErr w:type="spellEnd"/>
      <w:r w:rsidRPr="000B109E">
        <w:rPr>
          <w:rFonts w:cs="Times New Roman"/>
          <w:sz w:val="24"/>
          <w:szCs w:val="24"/>
        </w:rPr>
        <w:t xml:space="preserve"> és urológia megbetegedésekben vizsgálták az alkalmazhatóságát. Fül-orr-gégészetben, fej-nyaksebészetben a </w:t>
      </w:r>
      <w:proofErr w:type="spellStart"/>
      <w:r w:rsidRPr="000B109E">
        <w:rPr>
          <w:rFonts w:cs="Times New Roman"/>
          <w:sz w:val="24"/>
          <w:szCs w:val="24"/>
        </w:rPr>
        <w:t>preamalignus</w:t>
      </w:r>
      <w:proofErr w:type="spellEnd"/>
      <w:r w:rsidRPr="000B109E">
        <w:rPr>
          <w:rFonts w:cs="Times New Roman"/>
          <w:sz w:val="24"/>
          <w:szCs w:val="24"/>
        </w:rPr>
        <w:t xml:space="preserve"> és korai </w:t>
      </w:r>
      <w:proofErr w:type="spellStart"/>
      <w:r w:rsidRPr="000B109E">
        <w:rPr>
          <w:rFonts w:cs="Times New Roman"/>
          <w:sz w:val="24"/>
          <w:szCs w:val="24"/>
        </w:rPr>
        <w:t>malignus</w:t>
      </w:r>
      <w:proofErr w:type="spellEnd"/>
      <w:r w:rsidRPr="000B109E">
        <w:rPr>
          <w:rFonts w:cs="Times New Roman"/>
          <w:sz w:val="24"/>
          <w:szCs w:val="24"/>
        </w:rPr>
        <w:t xml:space="preserve"> daganatok felismerésében már vizsgáltuk </w:t>
      </w:r>
      <w:r>
        <w:rPr>
          <w:rFonts w:cs="Times New Roman"/>
          <w:sz w:val="24"/>
          <w:szCs w:val="24"/>
        </w:rPr>
        <w:t xml:space="preserve">a módszer diagnosztikus értékét. Elsősorban </w:t>
      </w:r>
      <w:proofErr w:type="gramStart"/>
      <w:r>
        <w:rPr>
          <w:rFonts w:cs="Times New Roman"/>
          <w:sz w:val="24"/>
          <w:szCs w:val="24"/>
        </w:rPr>
        <w:t xml:space="preserve">a </w:t>
      </w:r>
      <w:r w:rsidRPr="000B109E">
        <w:rPr>
          <w:rFonts w:cs="Times New Roman"/>
          <w:sz w:val="24"/>
          <w:szCs w:val="24"/>
        </w:rPr>
        <w:t xml:space="preserve"> nyálkahártya</w:t>
      </w:r>
      <w:proofErr w:type="gramEnd"/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dysplasia</w:t>
      </w:r>
      <w:proofErr w:type="spellEnd"/>
      <w:r w:rsidRPr="000B109E">
        <w:rPr>
          <w:rFonts w:cs="Times New Roman"/>
          <w:sz w:val="24"/>
          <w:szCs w:val="24"/>
        </w:rPr>
        <w:t xml:space="preserve"> miatt kialakult </w:t>
      </w:r>
      <w:proofErr w:type="spellStart"/>
      <w:r w:rsidRPr="000B109E">
        <w:rPr>
          <w:rFonts w:cs="Times New Roman"/>
          <w:sz w:val="24"/>
          <w:szCs w:val="24"/>
        </w:rPr>
        <w:t>epithel</w:t>
      </w:r>
      <w:r>
        <w:rPr>
          <w:rFonts w:cs="Times New Roman"/>
          <w:sz w:val="24"/>
          <w:szCs w:val="24"/>
        </w:rPr>
        <w:t>ialis</w:t>
      </w:r>
      <w:proofErr w:type="spellEnd"/>
      <w:r>
        <w:rPr>
          <w:rFonts w:cs="Times New Roman"/>
          <w:sz w:val="24"/>
          <w:szCs w:val="24"/>
        </w:rPr>
        <w:t xml:space="preserve"> változások detektálhatók a módszer segítségével.</w:t>
      </w:r>
    </w:p>
    <w:p w:rsidR="004C6BF5" w:rsidRPr="000B109E" w:rsidRDefault="004C6BF5" w:rsidP="004C6B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NBI esetében a </w:t>
      </w:r>
      <w:r w:rsidRPr="000B109E">
        <w:rPr>
          <w:rFonts w:cs="Times New Roman"/>
          <w:sz w:val="24"/>
          <w:szCs w:val="24"/>
        </w:rPr>
        <w:t>vizsgálófény hullámhosszát kék (415 nm) és zöld (540 nm) színekre szűkítve, az a hemoglobin abszorpciós sávjába kerül és elnyelődik benne. Az érstruktúrák sötétzöld – fekete színben jelennek meg, a nyálkahártya rózsaszínes marad.</w:t>
      </w:r>
      <w:r>
        <w:rPr>
          <w:rFonts w:cs="Times New Roman"/>
          <w:sz w:val="24"/>
          <w:szCs w:val="24"/>
        </w:rPr>
        <w:t xml:space="preserve"> </w:t>
      </w:r>
    </w:p>
    <w:p w:rsidR="004C6BF5" w:rsidRPr="000B109E" w:rsidRDefault="004C6BF5" w:rsidP="004C6B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Pr="000B109E">
        <w:rPr>
          <w:rFonts w:cs="Times New Roman"/>
          <w:sz w:val="24"/>
          <w:szCs w:val="24"/>
        </w:rPr>
        <w:t xml:space="preserve">izsgálatainkban a </w:t>
      </w:r>
      <w:proofErr w:type="spellStart"/>
      <w:r w:rsidRPr="000B109E">
        <w:rPr>
          <w:rFonts w:cs="Times New Roman"/>
          <w:sz w:val="24"/>
          <w:szCs w:val="24"/>
        </w:rPr>
        <w:t>chronicus</w:t>
      </w:r>
      <w:proofErr w:type="spellEnd"/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rhinosinusitis</w:t>
      </w:r>
      <w:proofErr w:type="spellEnd"/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nasalis</w:t>
      </w:r>
      <w:proofErr w:type="spellEnd"/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polyposissal</w:t>
      </w:r>
      <w:proofErr w:type="spellEnd"/>
      <w:r w:rsidRPr="000B109E">
        <w:rPr>
          <w:rFonts w:cs="Times New Roman"/>
          <w:sz w:val="24"/>
          <w:szCs w:val="24"/>
        </w:rPr>
        <w:t xml:space="preserve"> (</w:t>
      </w:r>
      <w:proofErr w:type="spellStart"/>
      <w:r w:rsidRPr="000B109E">
        <w:rPr>
          <w:rFonts w:cs="Times New Roman"/>
          <w:sz w:val="24"/>
          <w:szCs w:val="24"/>
        </w:rPr>
        <w:t>CRSwNP</w:t>
      </w:r>
      <w:proofErr w:type="spellEnd"/>
      <w:r w:rsidRPr="000B109E">
        <w:rPr>
          <w:rFonts w:cs="Times New Roman"/>
          <w:sz w:val="24"/>
          <w:szCs w:val="24"/>
        </w:rPr>
        <w:t>) járó formájában keres</w:t>
      </w:r>
      <w:r>
        <w:rPr>
          <w:rFonts w:cs="Times New Roman"/>
          <w:sz w:val="24"/>
          <w:szCs w:val="24"/>
        </w:rPr>
        <w:t>tük az NBI technika nyújtotta új</w:t>
      </w:r>
      <w:r w:rsidRPr="000B109E">
        <w:rPr>
          <w:rFonts w:cs="Times New Roman"/>
          <w:sz w:val="24"/>
          <w:szCs w:val="24"/>
        </w:rPr>
        <w:t xml:space="preserve"> diagnosztikus információkat. Az </w:t>
      </w:r>
      <w:proofErr w:type="spellStart"/>
      <w:r w:rsidRPr="000B109E">
        <w:rPr>
          <w:rFonts w:cs="Times New Roman"/>
          <w:sz w:val="24"/>
          <w:szCs w:val="24"/>
        </w:rPr>
        <w:t>Olympus</w:t>
      </w:r>
      <w:proofErr w:type="spellEnd"/>
      <w:r w:rsidRPr="000B109E">
        <w:rPr>
          <w:rFonts w:cs="Times New Roman"/>
          <w:sz w:val="24"/>
          <w:szCs w:val="24"/>
        </w:rPr>
        <w:t xml:space="preserve"> CV-170 video </w:t>
      </w:r>
      <w:proofErr w:type="spellStart"/>
      <w:r w:rsidRPr="000B109E">
        <w:rPr>
          <w:rFonts w:cs="Times New Roman"/>
          <w:sz w:val="24"/>
          <w:szCs w:val="24"/>
        </w:rPr>
        <w:t>processor</w:t>
      </w:r>
      <w:proofErr w:type="spellEnd"/>
      <w:r w:rsidRPr="000B109E">
        <w:rPr>
          <w:rFonts w:cs="Times New Roman"/>
          <w:sz w:val="24"/>
          <w:szCs w:val="24"/>
        </w:rPr>
        <w:t xml:space="preserve"> feldolgozó egységet használtuk LED fényf</w:t>
      </w:r>
      <w:r>
        <w:rPr>
          <w:rFonts w:cs="Times New Roman"/>
          <w:sz w:val="24"/>
          <w:szCs w:val="24"/>
        </w:rPr>
        <w:t xml:space="preserve">orrással. A flexibilis </w:t>
      </w:r>
      <w:proofErr w:type="spellStart"/>
      <w:r>
        <w:rPr>
          <w:rFonts w:cs="Times New Roman"/>
          <w:sz w:val="24"/>
          <w:szCs w:val="24"/>
        </w:rPr>
        <w:t>endoscop</w:t>
      </w:r>
      <w:proofErr w:type="spellEnd"/>
      <w:r w:rsidRPr="000B109E">
        <w:rPr>
          <w:rFonts w:cs="Times New Roman"/>
          <w:sz w:val="24"/>
          <w:szCs w:val="24"/>
        </w:rPr>
        <w:t xml:space="preserve"> az </w:t>
      </w:r>
      <w:proofErr w:type="spellStart"/>
      <w:r w:rsidRPr="000B109E">
        <w:rPr>
          <w:rFonts w:cs="Times New Roman"/>
          <w:sz w:val="24"/>
          <w:szCs w:val="24"/>
        </w:rPr>
        <w:t>Olympus</w:t>
      </w:r>
      <w:proofErr w:type="spellEnd"/>
      <w:r w:rsidRPr="000B109E">
        <w:rPr>
          <w:rFonts w:cs="Times New Roman"/>
          <w:sz w:val="24"/>
          <w:szCs w:val="24"/>
        </w:rPr>
        <w:t xml:space="preserve"> ENF-VH volt, amely képes HD minőségben mozgó és állóképet is rögzíteni, illetve hagyományos fehér fényes és NBI módban is használható</w:t>
      </w:r>
      <w:r>
        <w:rPr>
          <w:rFonts w:cs="Times New Roman"/>
          <w:sz w:val="24"/>
          <w:szCs w:val="24"/>
        </w:rPr>
        <w:t xml:space="preserve">. </w:t>
      </w:r>
      <w:r w:rsidRPr="000B109E">
        <w:rPr>
          <w:rFonts w:cs="Arial"/>
          <w:sz w:val="24"/>
          <w:szCs w:val="24"/>
        </w:rPr>
        <w:t>Az NBI képeket összevetettük a hagyományos módon készült felvételekkel.</w:t>
      </w:r>
    </w:p>
    <w:p w:rsidR="004C6BF5" w:rsidRDefault="004C6BF5" w:rsidP="004C6B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Vizsgálataink során </w:t>
      </w:r>
      <w:proofErr w:type="spellStart"/>
      <w:r>
        <w:rPr>
          <w:rFonts w:cs="Times New Roman"/>
          <w:sz w:val="24"/>
          <w:szCs w:val="24"/>
        </w:rPr>
        <w:t>intervascularis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trans</w:t>
      </w:r>
      <w:r w:rsidRPr="000B109E">
        <w:rPr>
          <w:rFonts w:cs="Times New Roman"/>
          <w:sz w:val="24"/>
          <w:szCs w:val="24"/>
        </w:rPr>
        <w:t>parentiát</w:t>
      </w:r>
      <w:proofErr w:type="spellEnd"/>
      <w:r>
        <w:rPr>
          <w:rFonts w:cs="Times New Roman"/>
          <w:sz w:val="24"/>
          <w:szCs w:val="24"/>
        </w:rPr>
        <w:t>,</w:t>
      </w:r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intraepithelial</w:t>
      </w:r>
      <w:proofErr w:type="spellEnd"/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papillaris</w:t>
      </w:r>
      <w:proofErr w:type="spellEnd"/>
      <w:r w:rsidRPr="000B10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hurkokat, az erek fokozott mértékű oszlási tendenciáját</w:t>
      </w:r>
      <w:proofErr w:type="gramStart"/>
      <w:r>
        <w:rPr>
          <w:rFonts w:cs="Times New Roman"/>
          <w:sz w:val="24"/>
          <w:szCs w:val="24"/>
        </w:rPr>
        <w:t xml:space="preserve">, </w:t>
      </w:r>
      <w:r w:rsidRPr="000B109E">
        <w:rPr>
          <w:rFonts w:cs="Times New Roman"/>
          <w:sz w:val="24"/>
          <w:szCs w:val="24"/>
        </w:rPr>
        <w:t xml:space="preserve"> </w:t>
      </w:r>
      <w:proofErr w:type="spellStart"/>
      <w:r w:rsidRPr="000B109E">
        <w:rPr>
          <w:rFonts w:cs="Times New Roman"/>
          <w:sz w:val="24"/>
          <w:szCs w:val="24"/>
        </w:rPr>
        <w:t>dilatáltságát</w:t>
      </w:r>
      <w:proofErr w:type="spellEnd"/>
      <w:proofErr w:type="gramEnd"/>
      <w:r w:rsidRPr="000B109E">
        <w:rPr>
          <w:rFonts w:cs="Times New Roman"/>
          <w:sz w:val="24"/>
          <w:szCs w:val="24"/>
        </w:rPr>
        <w:t xml:space="preserve"> és kanyarulatosságát észleltük az orr</w:t>
      </w:r>
      <w:r>
        <w:rPr>
          <w:rFonts w:cs="Times New Roman"/>
          <w:sz w:val="24"/>
          <w:szCs w:val="24"/>
        </w:rPr>
        <w:t xml:space="preserve">ban levő </w:t>
      </w:r>
      <w:proofErr w:type="spellStart"/>
      <w:r>
        <w:rPr>
          <w:rFonts w:cs="Times New Roman"/>
          <w:sz w:val="24"/>
          <w:szCs w:val="24"/>
        </w:rPr>
        <w:t>polypokon</w:t>
      </w:r>
      <w:proofErr w:type="spellEnd"/>
      <w:r>
        <w:rPr>
          <w:rFonts w:cs="Times New Roman"/>
          <w:sz w:val="24"/>
          <w:szCs w:val="24"/>
        </w:rPr>
        <w:t xml:space="preserve">, és a </w:t>
      </w:r>
      <w:proofErr w:type="spellStart"/>
      <w:r>
        <w:rPr>
          <w:rFonts w:cs="Times New Roman"/>
          <w:sz w:val="24"/>
          <w:szCs w:val="24"/>
        </w:rPr>
        <w:t>chronicus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sinusitises</w:t>
      </w:r>
      <w:proofErr w:type="spellEnd"/>
      <w:r>
        <w:rPr>
          <w:rFonts w:cs="Times New Roman"/>
          <w:sz w:val="24"/>
          <w:szCs w:val="24"/>
        </w:rPr>
        <w:t xml:space="preserve"> betegek orrnyálkahártyáján.</w:t>
      </w:r>
      <w:r w:rsidRPr="00B1472E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</w:t>
      </w:r>
      <w:r w:rsidRPr="000B109E">
        <w:rPr>
          <w:rFonts w:cs="Times New Roman"/>
          <w:sz w:val="24"/>
          <w:szCs w:val="24"/>
        </w:rPr>
        <w:t>asalis</w:t>
      </w:r>
      <w:proofErr w:type="spellEnd"/>
      <w:r w:rsidRPr="000B109E">
        <w:rPr>
          <w:rFonts w:cs="Times New Roman"/>
          <w:sz w:val="24"/>
          <w:szCs w:val="24"/>
        </w:rPr>
        <w:t xml:space="preserve"> nyálkahártya </w:t>
      </w:r>
      <w:proofErr w:type="spellStart"/>
      <w:r w:rsidRPr="000B109E">
        <w:rPr>
          <w:rFonts w:cs="Times New Roman"/>
          <w:sz w:val="24"/>
          <w:szCs w:val="24"/>
        </w:rPr>
        <w:t>chronicus</w:t>
      </w:r>
      <w:proofErr w:type="spellEnd"/>
      <w:r w:rsidRPr="000B109E">
        <w:rPr>
          <w:rFonts w:cs="Times New Roman"/>
          <w:sz w:val="24"/>
          <w:szCs w:val="24"/>
        </w:rPr>
        <w:t xml:space="preserve"> gyulla</w:t>
      </w:r>
      <w:r>
        <w:rPr>
          <w:rFonts w:cs="Times New Roman"/>
          <w:sz w:val="24"/>
          <w:szCs w:val="24"/>
        </w:rPr>
        <w:t xml:space="preserve">dása során, barna pontozottság volt </w:t>
      </w:r>
      <w:r w:rsidRPr="000B109E">
        <w:rPr>
          <w:rFonts w:cs="Times New Roman"/>
          <w:sz w:val="24"/>
          <w:szCs w:val="24"/>
        </w:rPr>
        <w:t>jellemz</w:t>
      </w:r>
      <w:r>
        <w:rPr>
          <w:rFonts w:cs="Times New Roman"/>
          <w:sz w:val="24"/>
          <w:szCs w:val="24"/>
        </w:rPr>
        <w:t>ő.</w:t>
      </w:r>
    </w:p>
    <w:p w:rsidR="004C6BF5" w:rsidRDefault="004C6BF5" w:rsidP="004C6B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</w:t>
      </w:r>
      <w:proofErr w:type="spellStart"/>
      <w:r>
        <w:rPr>
          <w:rFonts w:cs="Times New Roman"/>
          <w:sz w:val="24"/>
          <w:szCs w:val="24"/>
        </w:rPr>
        <w:t>endoscopos</w:t>
      </w:r>
      <w:proofErr w:type="spellEnd"/>
      <w:r>
        <w:rPr>
          <w:rFonts w:cs="Times New Roman"/>
          <w:sz w:val="24"/>
          <w:szCs w:val="24"/>
        </w:rPr>
        <w:t xml:space="preserve"> NBI módszere új információkkal szolgál </w:t>
      </w:r>
      <w:r w:rsidRPr="000B109E">
        <w:rPr>
          <w:rFonts w:cs="Times New Roman"/>
          <w:sz w:val="24"/>
          <w:szCs w:val="24"/>
        </w:rPr>
        <w:t>a betegségek kifejlődése</w:t>
      </w:r>
      <w:r>
        <w:rPr>
          <w:rFonts w:cs="Times New Roman"/>
          <w:sz w:val="24"/>
          <w:szCs w:val="24"/>
        </w:rPr>
        <w:t xml:space="preserve"> során, é</w:t>
      </w:r>
      <w:r w:rsidRPr="000B109E">
        <w:rPr>
          <w:rFonts w:cs="Times New Roman"/>
          <w:sz w:val="24"/>
          <w:szCs w:val="24"/>
        </w:rPr>
        <w:t>s a</w:t>
      </w:r>
      <w:r>
        <w:rPr>
          <w:rFonts w:cs="Times New Roman"/>
          <w:sz w:val="24"/>
          <w:szCs w:val="24"/>
        </w:rPr>
        <w:t xml:space="preserve">lkalmas a két vizsgált kórkép </w:t>
      </w:r>
      <w:proofErr w:type="spellStart"/>
      <w:r>
        <w:rPr>
          <w:rFonts w:cs="Times New Roman"/>
          <w:sz w:val="24"/>
          <w:szCs w:val="24"/>
        </w:rPr>
        <w:t>monitorizálására</w:t>
      </w:r>
      <w:proofErr w:type="spellEnd"/>
      <w:r>
        <w:rPr>
          <w:rFonts w:cs="Times New Roman"/>
          <w:sz w:val="24"/>
          <w:szCs w:val="24"/>
        </w:rPr>
        <w:t xml:space="preserve"> is. </w:t>
      </w:r>
    </w:p>
    <w:p w:rsidR="00A47BC4" w:rsidRDefault="00A47BC4"/>
    <w:p w:rsidR="004C6BF5" w:rsidRPr="00A91EF0" w:rsidRDefault="004C6BF5" w:rsidP="004C6BF5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Az IL-33/ST2 receptor rendszer szerepe az allergiában, asztmában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Endre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Lá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szl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ó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Vasútegészségügyi Központ, Gyermek, tüdő és allergia, 1062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budapest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Podmaniczky utca 109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4C6BF5" w:rsidRPr="00A91EF0" w:rsidRDefault="004C6BF5" w:rsidP="004C6BF5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Az IL-33/ST2 receptor rendszer szerepe az allergiában, asztmában Dr. Endre László c.doc.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Vasútegészségügyi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Központ, Budapest Az IL-33 az „IL-1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interleukin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család” tizenegyedikként (2005-ben) felfedezett tagja. Receptora egy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heterodimer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melynek egyik része az 1989-ben felfedezett ST2, másik az IL-3 receptor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accessory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protein. Maga az IL-33 a sejtmagban van és szövetsérülés hatására szabadul fel. A hörgőben lévő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epitheliális-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endotheliális-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simaizom sejteken,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fibroblastokon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 simaizom kötegek között lévő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mastocytákon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kimutatható. Az IL-33/ST2 kacsolódás a TH2-es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lymphocytákban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mastocytákban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basophil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leukocytákban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IL-4, IL-5 és IL-13 termelést indít be, ami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eosinophiliát-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 növekedést- és az allergiás betegségekre jellemző szövettani elváltozásokat vált ki. Asztma esetén az allergén, vagy vírus által károsított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endotheliális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epitheliális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sejtekből IL-33 szabadul fel, ez „riasztja” az immunrendszert (ezért „alarmin”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-nak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nevezik), elősegíti az IL-5-öt és IL-13-at termelő TH2-es sejtek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differenciálódását. Az IL-33/ST2 rendszer „szétrobbantása” az experimentálisan létrehozott asztma-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anafilaxiás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sokk súlyosságát jelentősen mérsékelte. Egereken az ST2 receptor blokkolásával a TH2-es légúti gyulladásuk gátlását érték el. Mindezek alapján joggal feltételezhető, hogy az IL-33/ST2 rendszer egy új terápiás célpont lehet az allergiás betegségek kezelésére.</w:t>
      </w:r>
    </w:p>
    <w:p w:rsidR="005E62BF" w:rsidRDefault="005E62BF" w:rsidP="004C6BF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4C6BF5" w:rsidRPr="00A91EF0" w:rsidRDefault="004C6BF5" w:rsidP="004C6BF5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Az allergiás nátha előfordulási gyakorisága és rizikó tényezői 6-12 éves budapesti általános iskolások körében 2019-ben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Sultész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Monika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Horváth Alpár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Molnár Dávid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Katona Gábor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Mezei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Hirschberg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Andor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Gálffy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Gabriella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7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Heim Pál Országos Gyermekgyógyászati Intézet, Fül-orr-gégészeti Osztály, 1089 Budapest, Üllői út 86.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Chiesi Hungary Kft. Budapest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Magyar Honvédség Egészségügyi Központ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Fül-Orr-Gége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Fej- és Nyaksebészeti Osztály,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Heim Pál Országos Gyermekgyógyászati Intézet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Fül-Orr-Gégegyógyászati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Osztály,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5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Semmelweis Egyetem I. számú Gyermekgyógyászati Klinika Pulmonológiai és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Allergológiai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Ambulancia 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6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Szent János Kórház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Fül-Orr-Gége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Szájsebészeti Osztály,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7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Tüdőgyógyintézet Törökbálint 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4C6BF5" w:rsidRPr="00A91EF0" w:rsidRDefault="004C6BF5" w:rsidP="004C6BF5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Célkitűzés: Magyarországon kevés felmérés vizsgálja a gyermekkori allergiás nátha gyakoriságát. A tanulmány célja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rhinitis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allergica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prevalenciájának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rizikó faktorainak meghatározása 6-12 éves budapesti általános iskolások körében. Anyag és módszer: 2019 szeptemberében 6869 kérdőív került kiosztásra a Központi Statisztikai Hivatal által egy korábbi epidemiológiai tanulmányhoz kijelölt 8 budapesti kerület 21 általános iskolájában 6-12 éves gyermekek szüleinek. A kiválasztás reprezentálta a főváros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ezen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korcsoportú lakosait. A szerzők munkájukhoz az ISAAC (International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Study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Asthma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Allergies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Childhood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I. fázisának magyar nyelvre fordított kérdőívét használták fel, amelyet saját tapasztalataikon alapuló kérdésekkel egészítettek ki. Az adatokat számítógéppel dolgozták fel és leíró statisztikákkal jellemezték. Eredmények: 3836 kérdőív érkezett vissza értékelhető formában (1857 fiú, 1979 lány). A válaszadók 29,3%-a (n=1043) feltételezett, 9,7%-a (n=373) orvos által diagnosztizált allergiás náthásnak bizonyult. Az összes allergiás náthás a vizsgált csoportban 36,2% (n=1289). A feltételezett allergiás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rhinoconjunctivitis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16,2% (n=577). Az orvos által diagnosztizált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atópiás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betegségek – asztma (p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&gt;0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,0001), ételallergia (p&gt;0,0001), és az ekcéma (p&gt;0,0001) – szignifikánsan növelték az allergiás nátha kialakulásának kockázatát. Az allergiás náthás és az egészséges gyermekek válaszait összehasonlítva az előbbi csoportban szignifikánsan gyakoribb a közeli családtagok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atopiás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betegsége, a rendszeres lázzal járó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felsőlégúti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hurut, a rendszeres arcüreggyulladás, az antibiotikum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paracetamol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szedés egyéves korig, penészes felület a hálószobában, és a dohányzás egyéves korig. Következtetés: A szerzők eredményeiket összefoglalva megállapítják, hogy a korábban Budapesten végzett epidemiológiai vizsgálatok adataival összehasonlítva a gyermekkori allergiás nátha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fővárosunkban emelkedni látszik, továbbá magasabb a környező országokban mért értékeknél is. A tanulmányban szereplő, az összes allergiás náthásra vonatkoztatott tényezők az allergiás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rhinitis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rizikó faktorai lehetnek.</w:t>
      </w:r>
    </w:p>
    <w:p w:rsidR="005E62BF" w:rsidRDefault="005E62BF" w:rsidP="004C6BF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4C6BF5" w:rsidRPr="00A91EF0" w:rsidRDefault="004C6BF5" w:rsidP="004C6BF5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proofErr w:type="gram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asztma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prevalenciájának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és rizikótényezőinek vizsgálata 6-12 éves, budapesti, iskolás gyermekek között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Molnár Dávid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Gálffy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Gabriella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Horváth Alpár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Tomisa Gábor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Katona Gábor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Hirschberg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Andor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Mezei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7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Sultész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Monika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lastRenderedPageBreak/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Magyar Honvédség Egészségügyi Központ,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Fül-Orr-Gége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Fej- és Nyaksebészeti Osztály, 1062 Budapest, Podmaniczky utca 109-111.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Egyetem, Anatómia, Szövet- és Fejlődéstani Intézet, 1094 Budapest, Tűzoltó utca 58.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Tüdőgyógyintézet Törökbálint, , 2045 Törökbálint, Munkácsy Mihály utca 70.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Chiesi Hungary Kft.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1138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Dunavirág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utca 2.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5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Heim Pál Országos Gyermekgyógyászati Intézet,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Fül-Orr-Gégészeti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Osztály, 1089 Budapest, Üllői út 86.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6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Észak-Közép-budai Centrum, Új Szent János Kórház és Szakrendelő,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Fül-Orr-Gége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Szájsebészeti Osztály, 1125 Budapest, Diós árok 1-3.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7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Semmelweis Egyetem, I. sz. Gyermekgyógyászati Klinika,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Allergológia-Pulmonológia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, 1083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Bókay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János utca 53-54.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4C6BF5" w:rsidRPr="00A91EF0" w:rsidRDefault="004C6BF5" w:rsidP="004C6BF5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Célkitűzés: A keresztmetszeti, kérdőív alapú vizsgálatunk célja az asztma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prevalneciájának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rizikótényezőinek meghatározása volt 6-12 éves, fővárosi gyermekek csoportjában. Anyagok és Módszerek: A vizsgálat során alkalmazott kérdőív az ISAAC harmadik fázisának asztma specifikus kérdései mellett a társuló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atópiás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megbetegedések, környezeti tényezők, életmódbeli sajátosságok és táplálkozási szokások közötti összefüggéseket vizsgálta. Az összegyűjtött űrlapok közül összesen 3836 volt alkalmas a feldolgozásra. Eredmények: A kumulatív asztma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12.6% volt a vizsgált populációban, akik 37,4% leány, 62,6%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fiú gyermek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volt. A lakóhelyhez közel elhelyezkedő légszennyező gyárak, nagy tehergépkocsi forgalmat lebonyolító utak és gazos területek (OR: 1,3319, 1,2883, 1,3939) növelték az asztma kockázatát, míg az agglomerációban található lakóhely (OR: 0,6390) kisebb esélyhányadossal bírt. A lakáson belüli dohányzás, penészes falfelület és kutyatartás (OR: 1,6509, 2,1282, 1,4362) kockázati tényező szerepe igazolódott, míg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hálószóbában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tartott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cserpesvirág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rágcsáló jelenléte csökkentette az asztma előfordulását (OR: 0,7884, 0,7231). Az asztmások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étrendjében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nagyobb arányban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szerpeltek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 gyorséttermi ételek, az adalékanyagokat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tartalmazú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üdítőitalok, valamint a margarin (OR: 1,7488, 1,2669, 1,3549). A rendszeres sporttevékenység és a gabonafélék gyakori fogyasztása kedvező esélyhányadossal bírt az asztmával összefüggésben (OR: 0,6883, 0,5403). Összefoglalás: A vizsgált gyermekpopulációban az asztma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12,6% volt.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Ereményeink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részben megerősítik más, korábbi, nemzetközi epidemiológiai tanulmányok következtetéseit. Az eltérések hátterében a regionális sajátosságok és egyéb eddig nem meghatározható tényezők állhatnak. Jelen vizsgálatunk egy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prospektív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tanulmány első lépcsője lehet. Eddigi eredményeink alapján is javaslatokat fogalmazhatunk meg a lakosság számára, hogy az gyermekek asztmájának szempontjából kedvező szokásokat honosítsanak meg mindennapjaikban, és lehetőségeik szerint kedvező lakókörnyezetet alakítsanak ki.</w:t>
      </w:r>
    </w:p>
    <w:p w:rsidR="004C6BF5" w:rsidRDefault="004C6BF5"/>
    <w:sectPr w:rsidR="004C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5"/>
    <w:rsid w:val="004C6BF5"/>
    <w:rsid w:val="005E62BF"/>
    <w:rsid w:val="00A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6F9F-1E1F-4F31-8B8B-8B76FB52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2021-06-07T05:46:00Z</dcterms:created>
  <dcterms:modified xsi:type="dcterms:W3CDTF">2021-06-07T08:45:00Z</dcterms:modified>
</cp:coreProperties>
</file>